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FFC" w:rsidRDefault="00E753AA">
      <w:bookmarkStart w:id="0" w:name="_GoBack"/>
      <w:bookmarkEnd w:id="0"/>
      <w:r>
        <w:rPr>
          <w:noProof/>
        </w:rPr>
        <w:drawing>
          <wp:anchor distT="0" distB="0" distL="114300" distR="114300" simplePos="0" relativeHeight="251683840" behindDoc="1" locked="0" layoutInCell="1" allowOverlap="1">
            <wp:simplePos x="0" y="0"/>
            <wp:positionH relativeFrom="page">
              <wp:posOffset>-11069</wp:posOffset>
            </wp:positionH>
            <wp:positionV relativeFrom="page">
              <wp:posOffset>-38100</wp:posOffset>
            </wp:positionV>
            <wp:extent cx="7619913" cy="10778490"/>
            <wp:effectExtent l="0" t="0" r="635"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flipV="1">
                      <a:off x="0" y="0"/>
                      <a:ext cx="7619913" cy="10778490"/>
                    </a:xfrm>
                    <a:prstGeom prst="rect">
                      <a:avLst/>
                    </a:prstGeom>
                    <a:noFill/>
                  </pic:spPr>
                </pic:pic>
              </a:graphicData>
            </a:graphic>
          </wp:anchor>
        </w:drawing>
      </w:r>
      <w:r w:rsidR="0089332C">
        <w:rPr>
          <w:noProof/>
        </w:rPr>
        <w:drawing>
          <wp:anchor distT="0" distB="0" distL="114300" distR="114300" simplePos="0" relativeHeight="251665408" behindDoc="0" locked="0" layoutInCell="1" allowOverlap="1">
            <wp:simplePos x="0" y="0"/>
            <wp:positionH relativeFrom="margin">
              <wp:posOffset>0</wp:posOffset>
            </wp:positionH>
            <wp:positionV relativeFrom="page">
              <wp:posOffset>1440180</wp:posOffset>
            </wp:positionV>
            <wp:extent cx="1413510" cy="723265"/>
            <wp:effectExtent l="19050" t="0" r="0" b="0"/>
            <wp:wrapSquare wrapText="bothSides"/>
            <wp:docPr id="7"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rcRect/>
                    <a:stretch>
                      <a:fillRect/>
                    </a:stretch>
                  </pic:blipFill>
                  <pic:spPr bwMode="auto">
                    <a:xfrm>
                      <a:off x="0" y="0"/>
                      <a:ext cx="1413510" cy="723265"/>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rsidR="00F875BD" w:rsidRDefault="00F875BD"/>
        <w:p w:rsidR="00F875BD" w:rsidRDefault="009F3C0E">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simplePos x="0" y="0"/>
                    <wp:positionH relativeFrom="margin">
                      <wp:posOffset>-216619</wp:posOffset>
                    </wp:positionH>
                    <wp:positionV relativeFrom="page">
                      <wp:posOffset>4675367</wp:posOffset>
                    </wp:positionV>
                    <wp:extent cx="3760967" cy="2689225"/>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967" cy="268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AAC" w:rsidRPr="00731AE2" w:rsidRDefault="009F3C0E" w:rsidP="0089332C">
                                <w:pPr>
                                  <w:pStyle w:val="Title"/>
                                  <w:rPr>
                                    <w:color w:val="FFFFFF"/>
                                  </w:rPr>
                                </w:pPr>
                                <w:r>
                                  <w:rPr>
                                    <w:color w:val="FFFFFF"/>
                                  </w:rPr>
                                  <w:t xml:space="preserve">Commercial purpose policy </w:t>
                                </w:r>
                              </w:p>
                              <w:p w:rsidR="00246AAC" w:rsidRPr="009F3C0E" w:rsidRDefault="009F3C0E" w:rsidP="0089332C">
                                <w:pPr>
                                  <w:pStyle w:val="Subtitle"/>
                                  <w:rPr>
                                    <w:i/>
                                    <w:color w:val="FFFFFF"/>
                                  </w:rPr>
                                </w:pPr>
                                <w:r w:rsidRPr="009F3C0E">
                                  <w:rPr>
                                    <w:i/>
                                    <w:color w:val="FFFFFF"/>
                                  </w:rPr>
                                  <w:t>Controlled Sports Act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7.05pt;margin-top:368.15pt;width:296.15pt;height:21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S3tg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" filled="f" stroked="f">
                    <v:textbox>
                      <w:txbxContent>
                        <w:p w:rsidR="00246AAC" w:rsidRPr="00731AE2" w:rsidRDefault="009F3C0E" w:rsidP="0089332C">
                          <w:pPr>
                            <w:pStyle w:val="Title"/>
                            <w:rPr>
                              <w:color w:val="FFFFFF"/>
                            </w:rPr>
                          </w:pPr>
                          <w:r>
                            <w:rPr>
                              <w:color w:val="FFFFFF"/>
                            </w:rPr>
                            <w:t xml:space="preserve">Commercial purpose policy </w:t>
                          </w:r>
                        </w:p>
                        <w:p w:rsidR="00246AAC" w:rsidRPr="009F3C0E" w:rsidRDefault="009F3C0E" w:rsidP="0089332C">
                          <w:pPr>
                            <w:pStyle w:val="Subtitle"/>
                            <w:rPr>
                              <w:i/>
                              <w:color w:val="FFFFFF"/>
                            </w:rPr>
                          </w:pPr>
                          <w:r w:rsidRPr="009F3C0E">
                            <w:rPr>
                              <w:i/>
                              <w:color w:val="FFFFFF"/>
                            </w:rPr>
                            <w:t>Controlled Sports Act 2019</w:t>
                          </w:r>
                        </w:p>
                      </w:txbxContent>
                    </v:textbox>
                    <w10:wrap anchorx="margin" anchory="page"/>
                  </v:shape>
                </w:pict>
              </mc:Fallback>
            </mc:AlternateContent>
          </w:r>
          <w:r w:rsidR="00E666BB">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simplePos x="0" y="0"/>
                    <wp:positionH relativeFrom="margin">
                      <wp:posOffset>-214630</wp:posOffset>
                    </wp:positionH>
                    <wp:positionV relativeFrom="page">
                      <wp:posOffset>7807325</wp:posOffset>
                    </wp:positionV>
                    <wp:extent cx="2298065" cy="916940"/>
                    <wp:effectExtent l="4445" t="0" r="254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AAC" w:rsidRPr="000016B9" w:rsidRDefault="009F3C0E" w:rsidP="0089332C">
                                <w:pPr>
                                  <w:pStyle w:val="Intro"/>
                                  <w:rPr>
                                    <w:caps/>
                                    <w:color w:val="FFFFFF"/>
                                  </w:rPr>
                                </w:pPr>
                                <w:r>
                                  <w:rPr>
                                    <w:color w:val="FFFFFF"/>
                                  </w:rPr>
                                  <w:t xml:space="preserve">Chief Minister, Treasury &amp; Economic Development Directorate </w:t>
                                </w:r>
                              </w:p>
                              <w:p w:rsidR="00246AAC" w:rsidRPr="000016B9" w:rsidRDefault="009F3C0E" w:rsidP="0089332C">
                                <w:pPr>
                                  <w:pStyle w:val="Intro"/>
                                  <w:rPr>
                                    <w:caps/>
                                    <w:color w:val="FFFFFF"/>
                                  </w:rPr>
                                </w:pPr>
                                <w:r>
                                  <w:rPr>
                                    <w:color w:val="FFFFFF"/>
                                  </w:rPr>
                                  <w:t xml:space="preserve">June 2019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0" o:spid="_x0000_s1027" type="#_x0000_t202" style="position:absolute;margin-left:-16.9pt;margin-top:614.75pt;width:180.95pt;height:72.2pt;z-index:251667456;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" filled="f" stroked="f">
                    <v:textbox style="mso-fit-shape-to-text:t">
                      <w:txbxContent>
                        <w:p w:rsidR="00246AAC" w:rsidRPr="000016B9" w:rsidRDefault="009F3C0E" w:rsidP="0089332C">
                          <w:pPr>
                            <w:pStyle w:val="Intro"/>
                            <w:rPr>
                              <w:caps/>
                              <w:color w:val="FFFFFF"/>
                            </w:rPr>
                          </w:pPr>
                          <w:r>
                            <w:rPr>
                              <w:color w:val="FFFFFF"/>
                            </w:rPr>
                            <w:t xml:space="preserve">Chief Minister, Treasury &amp; Economic Development Directorate </w:t>
                          </w:r>
                        </w:p>
                        <w:p w:rsidR="00246AAC" w:rsidRPr="000016B9" w:rsidRDefault="009F3C0E" w:rsidP="0089332C">
                          <w:pPr>
                            <w:pStyle w:val="Intro"/>
                            <w:rPr>
                              <w:caps/>
                              <w:color w:val="FFFFFF"/>
                            </w:rPr>
                          </w:pPr>
                          <w:r>
                            <w:rPr>
                              <w:color w:val="FFFFFF"/>
                            </w:rPr>
                            <w:t xml:space="preserve">June 2019 </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p w:rsidR="002D33BC" w:rsidRPr="005115E8" w:rsidRDefault="002D33BC" w:rsidP="005115E8">
      <w:pPr>
        <w:pStyle w:val="TOC1"/>
      </w:pPr>
      <w:r w:rsidRPr="005115E8">
        <w:lastRenderedPageBreak/>
        <w:t>Content</w:t>
      </w:r>
      <w:r w:rsidR="005115E8" w:rsidRPr="005115E8">
        <w:t>s</w:t>
      </w:r>
    </w:p>
    <w:p w:rsidR="0055372C" w:rsidRDefault="00DD7FA7">
      <w:pPr>
        <w:pStyle w:val="TOC1"/>
        <w:rPr>
          <w:rFonts w:eastAsiaTheme="minorEastAsia" w:cstheme="minorBidi"/>
          <w:b w:val="0"/>
          <w:caps w:val="0"/>
          <w:color w:val="auto"/>
          <w:sz w:val="22"/>
          <w:szCs w:val="22"/>
        </w:rPr>
      </w:pPr>
      <w:r>
        <w:fldChar w:fldCharType="begin"/>
      </w:r>
      <w:r w:rsidR="0096313F">
        <w:instrText xml:space="preserve"> TOC \o "1-4" \u </w:instrText>
      </w:r>
      <w:r>
        <w:fldChar w:fldCharType="separate"/>
      </w:r>
      <w:r w:rsidR="0055372C">
        <w:t>Commercial purpose policy</w:t>
      </w:r>
      <w:r w:rsidR="0055372C">
        <w:tab/>
      </w:r>
      <w:r w:rsidR="0055372C">
        <w:fldChar w:fldCharType="begin"/>
      </w:r>
      <w:r w:rsidR="0055372C">
        <w:instrText xml:space="preserve"> PAGEREF _Toc9243385 \h </w:instrText>
      </w:r>
      <w:r w:rsidR="0055372C">
        <w:fldChar w:fldCharType="separate"/>
      </w:r>
      <w:r w:rsidR="0055372C">
        <w:t>3</w:t>
      </w:r>
      <w:r w:rsidR="0055372C">
        <w:fldChar w:fldCharType="end"/>
      </w:r>
    </w:p>
    <w:p w:rsidR="0055372C" w:rsidRDefault="0055372C">
      <w:pPr>
        <w:pStyle w:val="TOC2"/>
        <w:rPr>
          <w:rFonts w:eastAsiaTheme="minorEastAsia" w:cstheme="minorBidi"/>
          <w:color w:val="auto"/>
          <w:sz w:val="22"/>
          <w:szCs w:val="22"/>
        </w:rPr>
      </w:pPr>
      <w:r>
        <w:t>Summary</w:t>
      </w:r>
      <w:r>
        <w:tab/>
      </w:r>
      <w:r>
        <w:fldChar w:fldCharType="begin"/>
      </w:r>
      <w:r>
        <w:instrText xml:space="preserve"> PAGEREF _Toc9243386 \h </w:instrText>
      </w:r>
      <w:r>
        <w:fldChar w:fldCharType="separate"/>
      </w:r>
      <w:r>
        <w:t>3</w:t>
      </w:r>
      <w:r>
        <w:fldChar w:fldCharType="end"/>
      </w:r>
    </w:p>
    <w:p w:rsidR="0055372C" w:rsidRDefault="0055372C">
      <w:pPr>
        <w:pStyle w:val="TOC2"/>
        <w:rPr>
          <w:rFonts w:eastAsiaTheme="minorEastAsia" w:cstheme="minorBidi"/>
          <w:color w:val="auto"/>
          <w:sz w:val="22"/>
          <w:szCs w:val="22"/>
        </w:rPr>
      </w:pPr>
      <w:r>
        <w:t>Policy Statement</w:t>
      </w:r>
      <w:r>
        <w:tab/>
      </w:r>
      <w:r>
        <w:fldChar w:fldCharType="begin"/>
      </w:r>
      <w:r>
        <w:instrText xml:space="preserve"> PAGEREF _Toc9243387 \h </w:instrText>
      </w:r>
      <w:r>
        <w:fldChar w:fldCharType="separate"/>
      </w:r>
      <w:r>
        <w:t>3</w:t>
      </w:r>
      <w:r>
        <w:fldChar w:fldCharType="end"/>
      </w:r>
    </w:p>
    <w:p w:rsidR="0055372C" w:rsidRDefault="0055372C">
      <w:pPr>
        <w:pStyle w:val="TOC3"/>
        <w:tabs>
          <w:tab w:val="right" w:leader="dot" w:pos="9060"/>
        </w:tabs>
        <w:rPr>
          <w:rFonts w:eastAsiaTheme="minorEastAsia" w:cstheme="minorBidi"/>
          <w:noProof/>
          <w:sz w:val="22"/>
          <w:szCs w:val="22"/>
        </w:rPr>
      </w:pPr>
      <w:r>
        <w:rPr>
          <w:noProof/>
        </w:rPr>
        <w:t>What evidence can be supplied?</w:t>
      </w:r>
      <w:r>
        <w:rPr>
          <w:noProof/>
        </w:rPr>
        <w:tab/>
      </w:r>
      <w:r>
        <w:rPr>
          <w:noProof/>
        </w:rPr>
        <w:fldChar w:fldCharType="begin"/>
      </w:r>
      <w:r>
        <w:rPr>
          <w:noProof/>
        </w:rPr>
        <w:instrText xml:space="preserve"> PAGEREF _Toc9243388 \h </w:instrText>
      </w:r>
      <w:r>
        <w:rPr>
          <w:noProof/>
        </w:rPr>
      </w:r>
      <w:r>
        <w:rPr>
          <w:noProof/>
        </w:rPr>
        <w:fldChar w:fldCharType="separate"/>
      </w:r>
      <w:r>
        <w:rPr>
          <w:noProof/>
        </w:rPr>
        <w:t>4</w:t>
      </w:r>
      <w:r>
        <w:rPr>
          <w:noProof/>
        </w:rPr>
        <w:fldChar w:fldCharType="end"/>
      </w:r>
    </w:p>
    <w:p w:rsidR="0055372C" w:rsidRDefault="0055372C">
      <w:pPr>
        <w:pStyle w:val="TOC1"/>
        <w:rPr>
          <w:rFonts w:eastAsiaTheme="minorEastAsia" w:cstheme="minorBidi"/>
          <w:b w:val="0"/>
          <w:caps w:val="0"/>
          <w:color w:val="auto"/>
          <w:sz w:val="22"/>
          <w:szCs w:val="22"/>
        </w:rPr>
      </w:pPr>
      <w:r>
        <w:t>Contacts</w:t>
      </w:r>
      <w:r>
        <w:tab/>
      </w:r>
      <w:r>
        <w:fldChar w:fldCharType="begin"/>
      </w:r>
      <w:r>
        <w:instrText xml:space="preserve"> PAGEREF _Toc9243389 \h </w:instrText>
      </w:r>
      <w:r>
        <w:fldChar w:fldCharType="separate"/>
      </w:r>
      <w:r>
        <w:t>4</w:t>
      </w:r>
      <w:r>
        <w:fldChar w:fldCharType="end"/>
      </w:r>
    </w:p>
    <w:p w:rsidR="0055372C" w:rsidRDefault="0055372C">
      <w:pPr>
        <w:pStyle w:val="TOC1"/>
        <w:rPr>
          <w:rFonts w:eastAsiaTheme="minorEastAsia" w:cstheme="minorBidi"/>
          <w:b w:val="0"/>
          <w:caps w:val="0"/>
          <w:color w:val="auto"/>
          <w:sz w:val="22"/>
          <w:szCs w:val="22"/>
        </w:rPr>
      </w:pPr>
      <w:r w:rsidRPr="008A00FB">
        <w:rPr>
          <w:shd w:val="clear" w:color="auto" w:fill="FFFFFF"/>
        </w:rPr>
        <w:t>Frequently asked questions</w:t>
      </w:r>
      <w:r>
        <w:tab/>
      </w:r>
      <w:r>
        <w:fldChar w:fldCharType="begin"/>
      </w:r>
      <w:r>
        <w:instrText xml:space="preserve"> PAGEREF _Toc9243390 \h </w:instrText>
      </w:r>
      <w:r>
        <w:fldChar w:fldCharType="separate"/>
      </w:r>
      <w:r>
        <w:t>4</w:t>
      </w:r>
      <w:r>
        <w:fldChar w:fldCharType="end"/>
      </w:r>
    </w:p>
    <w:p w:rsidR="0055372C" w:rsidRDefault="0055372C">
      <w:pPr>
        <w:pStyle w:val="TOC4"/>
        <w:tabs>
          <w:tab w:val="right" w:leader="dot" w:pos="9060"/>
        </w:tabs>
        <w:rPr>
          <w:rFonts w:eastAsiaTheme="minorEastAsia" w:cstheme="minorBidi"/>
          <w:noProof/>
          <w:color w:val="auto"/>
          <w:sz w:val="22"/>
          <w:szCs w:val="22"/>
        </w:rPr>
      </w:pPr>
      <w:r w:rsidRPr="008A00FB">
        <w:rPr>
          <w:noProof/>
          <w:color w:val="auto"/>
        </w:rPr>
        <w:t>Can I run a registrable event concurrently with a non-registrable event?</w:t>
      </w:r>
      <w:r>
        <w:rPr>
          <w:noProof/>
        </w:rPr>
        <w:tab/>
      </w:r>
      <w:r>
        <w:rPr>
          <w:noProof/>
        </w:rPr>
        <w:fldChar w:fldCharType="begin"/>
      </w:r>
      <w:r>
        <w:rPr>
          <w:noProof/>
        </w:rPr>
        <w:instrText xml:space="preserve"> PAGEREF _Toc9243391 \h </w:instrText>
      </w:r>
      <w:r>
        <w:rPr>
          <w:noProof/>
        </w:rPr>
      </w:r>
      <w:r>
        <w:rPr>
          <w:noProof/>
        </w:rPr>
        <w:fldChar w:fldCharType="separate"/>
      </w:r>
      <w:r>
        <w:rPr>
          <w:noProof/>
        </w:rPr>
        <w:t>4</w:t>
      </w:r>
      <w:r>
        <w:rPr>
          <w:noProof/>
        </w:rPr>
        <w:fldChar w:fldCharType="end"/>
      </w:r>
    </w:p>
    <w:p w:rsidR="0055372C" w:rsidRDefault="0055372C">
      <w:pPr>
        <w:pStyle w:val="TOC4"/>
        <w:tabs>
          <w:tab w:val="right" w:leader="dot" w:pos="9060"/>
        </w:tabs>
        <w:rPr>
          <w:rFonts w:eastAsiaTheme="minorEastAsia" w:cstheme="minorBidi"/>
          <w:noProof/>
          <w:color w:val="auto"/>
          <w:sz w:val="22"/>
          <w:szCs w:val="22"/>
        </w:rPr>
      </w:pPr>
      <w:r w:rsidRPr="008A00FB">
        <w:rPr>
          <w:noProof/>
          <w:color w:val="auto"/>
        </w:rPr>
        <w:t>Can I run a registrable or non-registrable event concurrently with an exempted light contact combat sport?</w:t>
      </w:r>
      <w:r>
        <w:rPr>
          <w:noProof/>
        </w:rPr>
        <w:tab/>
      </w:r>
      <w:r>
        <w:rPr>
          <w:noProof/>
        </w:rPr>
        <w:fldChar w:fldCharType="begin"/>
      </w:r>
      <w:r>
        <w:rPr>
          <w:noProof/>
        </w:rPr>
        <w:instrText xml:space="preserve"> PAGEREF _Toc9243392 \h </w:instrText>
      </w:r>
      <w:r>
        <w:rPr>
          <w:noProof/>
        </w:rPr>
      </w:r>
      <w:r>
        <w:rPr>
          <w:noProof/>
        </w:rPr>
        <w:fldChar w:fldCharType="separate"/>
      </w:r>
      <w:r>
        <w:rPr>
          <w:noProof/>
        </w:rPr>
        <w:t>4</w:t>
      </w:r>
      <w:r>
        <w:rPr>
          <w:noProof/>
        </w:rPr>
        <w:fldChar w:fldCharType="end"/>
      </w:r>
    </w:p>
    <w:p w:rsidR="0055372C" w:rsidRDefault="0055372C">
      <w:pPr>
        <w:pStyle w:val="TOC4"/>
        <w:tabs>
          <w:tab w:val="right" w:leader="dot" w:pos="9060"/>
        </w:tabs>
        <w:rPr>
          <w:rFonts w:eastAsiaTheme="minorEastAsia" w:cstheme="minorBidi"/>
          <w:noProof/>
          <w:color w:val="auto"/>
          <w:sz w:val="22"/>
          <w:szCs w:val="22"/>
        </w:rPr>
      </w:pPr>
      <w:r w:rsidRPr="008A00FB">
        <w:rPr>
          <w:noProof/>
          <w:color w:val="auto"/>
        </w:rPr>
        <w:t>I’m not sure whether my event is a registrable or non-registrable event. What should I do?</w:t>
      </w:r>
      <w:r>
        <w:rPr>
          <w:noProof/>
        </w:rPr>
        <w:tab/>
      </w:r>
      <w:r>
        <w:rPr>
          <w:noProof/>
        </w:rPr>
        <w:fldChar w:fldCharType="begin"/>
      </w:r>
      <w:r>
        <w:rPr>
          <w:noProof/>
        </w:rPr>
        <w:instrText xml:space="preserve"> PAGEREF _Toc9243393 \h </w:instrText>
      </w:r>
      <w:r>
        <w:rPr>
          <w:noProof/>
        </w:rPr>
      </w:r>
      <w:r>
        <w:rPr>
          <w:noProof/>
        </w:rPr>
        <w:fldChar w:fldCharType="separate"/>
      </w:r>
      <w:r>
        <w:rPr>
          <w:noProof/>
        </w:rPr>
        <w:t>4</w:t>
      </w:r>
      <w:r>
        <w:rPr>
          <w:noProof/>
        </w:rPr>
        <w:fldChar w:fldCharType="end"/>
      </w:r>
    </w:p>
    <w:p w:rsidR="0055372C" w:rsidRDefault="0055372C">
      <w:pPr>
        <w:pStyle w:val="TOC2"/>
        <w:rPr>
          <w:rFonts w:eastAsiaTheme="minorEastAsia" w:cstheme="minorBidi"/>
          <w:color w:val="auto"/>
          <w:sz w:val="22"/>
          <w:szCs w:val="22"/>
        </w:rPr>
      </w:pPr>
    </w:p>
    <w:p w:rsidR="00742F5A" w:rsidRDefault="00DD7FA7" w:rsidP="00742F5A">
      <w:pPr>
        <w:pStyle w:val="Heading1"/>
      </w:pPr>
      <w:r>
        <w:rPr>
          <w:rFonts w:asciiTheme="majorHAnsi" w:hAnsiTheme="majorHAnsi"/>
          <w:noProof/>
          <w:sz w:val="36"/>
          <w:szCs w:val="40"/>
        </w:rPr>
        <w:fldChar w:fldCharType="end"/>
      </w:r>
      <w:r w:rsidR="00C34A60">
        <w:br w:type="page"/>
      </w:r>
      <w:bookmarkStart w:id="1" w:name="_Toc9243385"/>
      <w:r w:rsidR="00203525">
        <w:lastRenderedPageBreak/>
        <w:softHyphen/>
      </w:r>
      <w:r w:rsidR="00742F5A">
        <w:t>Commercial purpose policy</w:t>
      </w:r>
      <w:bookmarkEnd w:id="1"/>
      <w:r w:rsidR="00742F5A">
        <w:t xml:space="preserve"> </w:t>
      </w:r>
    </w:p>
    <w:p w:rsidR="00742F5A" w:rsidRDefault="00742F5A" w:rsidP="00742F5A">
      <w:pPr>
        <w:pStyle w:val="Heading2"/>
      </w:pPr>
      <w:bookmarkStart w:id="2" w:name="_Toc9243386"/>
      <w:r>
        <w:t>Summary</w:t>
      </w:r>
      <w:bookmarkEnd w:id="2"/>
      <w:r>
        <w:t xml:space="preserve"> </w:t>
      </w:r>
    </w:p>
    <w:p w:rsidR="00742F5A" w:rsidRDefault="00742F5A" w:rsidP="00742F5A">
      <w:r>
        <w:t xml:space="preserve">The </w:t>
      </w:r>
      <w:r w:rsidRPr="00742F5A">
        <w:rPr>
          <w:i/>
        </w:rPr>
        <w:t>Controlled Sports Act 2019</w:t>
      </w:r>
      <w:r>
        <w:t xml:space="preserve"> makes a distinction between: </w:t>
      </w:r>
    </w:p>
    <w:p w:rsidR="00742F5A" w:rsidRDefault="00742F5A" w:rsidP="00742F5A">
      <w:pPr>
        <w:pStyle w:val="ListParagraph"/>
        <w:numPr>
          <w:ilvl w:val="0"/>
          <w:numId w:val="32"/>
        </w:numPr>
      </w:pPr>
      <w:r>
        <w:t>Registrable events held for commercial purpose</w:t>
      </w:r>
      <w:r w:rsidR="00AC144C">
        <w:t xml:space="preserve"> (among other criteria)</w:t>
      </w:r>
      <w:r>
        <w:t xml:space="preserve">; and </w:t>
      </w:r>
    </w:p>
    <w:p w:rsidR="00742F5A" w:rsidRDefault="00742F5A" w:rsidP="00742F5A">
      <w:pPr>
        <w:pStyle w:val="ListParagraph"/>
        <w:numPr>
          <w:ilvl w:val="0"/>
          <w:numId w:val="32"/>
        </w:numPr>
      </w:pPr>
      <w:r>
        <w:t xml:space="preserve">Non-registrable events authorised by Authorised Controlled Sports Bodies. </w:t>
      </w:r>
    </w:p>
    <w:p w:rsidR="00AC144C" w:rsidRDefault="00742F5A" w:rsidP="00742F5A">
      <w:r>
        <w:t>Approval is not required to hold a Non-Registrable event, though promoters/ event organisers must provide notification of the event to the Controlled Sports</w:t>
      </w:r>
      <w:r w:rsidR="00ED6C91">
        <w:t xml:space="preserve"> Registrar</w:t>
      </w:r>
      <w:r>
        <w:t>.</w:t>
      </w:r>
    </w:p>
    <w:p w:rsidR="001D00E3" w:rsidRDefault="00AC144C" w:rsidP="00742F5A">
      <w:r>
        <w:t xml:space="preserve">Commercial purpose is one distinction between registrable and non-registrable events. This policy provides guidance to promoters and Authorised Controlled Sports Bodies on the intent of </w:t>
      </w:r>
      <w:r w:rsidR="000F5D73">
        <w:t>commercial purpose as one part of this definition</w:t>
      </w:r>
      <w:r>
        <w:t>.</w:t>
      </w:r>
      <w:r w:rsidR="000F5D73">
        <w:t xml:space="preserve"> The Controlled Sports </w:t>
      </w:r>
      <w:r w:rsidR="00ED6C91">
        <w:t xml:space="preserve">Registrar </w:t>
      </w:r>
      <w:r w:rsidR="000F5D73">
        <w:t xml:space="preserve">encourages all promoters to familiarise themselves with the definition of a registrable event outlined in Section 10 of the Act. </w:t>
      </w:r>
      <w:r>
        <w:t xml:space="preserve"> </w:t>
      </w:r>
    </w:p>
    <w:p w:rsidR="00742F5A" w:rsidRDefault="00742F5A" w:rsidP="00742F5A">
      <w:pPr>
        <w:pStyle w:val="Heading2"/>
      </w:pPr>
      <w:bookmarkStart w:id="3" w:name="_Toc9243387"/>
      <w:r>
        <w:t>Policy Statement</w:t>
      </w:r>
      <w:bookmarkEnd w:id="3"/>
      <w:r>
        <w:t xml:space="preserve"> </w:t>
      </w:r>
    </w:p>
    <w:p w:rsidR="001D00E3" w:rsidRDefault="001D00E3" w:rsidP="001D00E3">
      <w:pPr>
        <w:sectPr w:rsidR="001D00E3" w:rsidSect="005115E8">
          <w:headerReference w:type="default" r:id="rId13"/>
          <w:footerReference w:type="default" r:id="rId14"/>
          <w:type w:val="continuous"/>
          <w:pgSz w:w="11906" w:h="16838" w:code="9"/>
          <w:pgMar w:top="1253" w:right="1418" w:bottom="1701" w:left="1418" w:header="567" w:footer="709" w:gutter="0"/>
          <w:cols w:space="708"/>
          <w:docGrid w:linePitch="360"/>
        </w:sectPr>
      </w:pPr>
      <w:r>
        <w:t xml:space="preserve">An Authorised Controlled Sports Body, as a condition of being approved, must hold Not-for-Profit status with the Australian Taxation Office. This means that, while some profits can be made from non-registrable events, these profits must go back into the services provided by the entity. </w:t>
      </w:r>
      <w:r w:rsidR="00686363">
        <w:t xml:space="preserve">On principle, this means that the majority of events run by Authorised Controlled Sports Bodies are non-registrable events. Where an event is run by a promoter separate to the Authorised Controlled Sports Body, commercial purpose criteria may apply, depending on how the event is administered. </w:t>
      </w:r>
    </w:p>
    <w:p w:rsidR="00742F5A" w:rsidRDefault="00ED6C91" w:rsidP="00742F5A">
      <w:r>
        <w:t>An</w:t>
      </w:r>
      <w:r w:rsidR="00742F5A">
        <w:t xml:space="preserve"> event </w:t>
      </w:r>
      <w:r>
        <w:t>is</w:t>
      </w:r>
      <w:r w:rsidR="00742F5A">
        <w:t xml:space="preserve"> </w:t>
      </w:r>
      <w:r w:rsidR="00742F5A" w:rsidRPr="000F5D73">
        <w:rPr>
          <w:u w:val="single"/>
        </w:rPr>
        <w:t>not held for commercial purpose</w:t>
      </w:r>
      <w:r w:rsidR="00742F5A">
        <w:t xml:space="preserve">, and therefore a non-registrable event, when: </w:t>
      </w:r>
    </w:p>
    <w:p w:rsidR="00742F5A" w:rsidRDefault="005C36A6" w:rsidP="002C5DFA">
      <w:pPr>
        <w:pStyle w:val="ListParagraph"/>
        <w:numPr>
          <w:ilvl w:val="0"/>
          <w:numId w:val="35"/>
        </w:numPr>
      </w:pPr>
      <w:r>
        <w:t xml:space="preserve">The ticket price is for the administration of </w:t>
      </w:r>
      <w:r w:rsidR="00ED6C91">
        <w:t xml:space="preserve">an event approved or run by </w:t>
      </w:r>
      <w:r>
        <w:t>an Authorised Controlled Sports Body or their affiliate body</w:t>
      </w:r>
      <w:r w:rsidR="00ED6C91">
        <w:t xml:space="preserve">, and is reinvested in </w:t>
      </w:r>
      <w:r w:rsidR="00686363">
        <w:t>the Authorised Controlled Sports Body or their affiliate body</w:t>
      </w:r>
      <w:r>
        <w:t xml:space="preserve">; or </w:t>
      </w:r>
    </w:p>
    <w:p w:rsidR="005C36A6" w:rsidRDefault="005C36A6" w:rsidP="002C5DFA">
      <w:pPr>
        <w:pStyle w:val="ListParagraph"/>
        <w:numPr>
          <w:ilvl w:val="0"/>
          <w:numId w:val="35"/>
        </w:numPr>
      </w:pPr>
      <w:r>
        <w:t xml:space="preserve">The ticket price covers the running costs only of an event </w:t>
      </w:r>
      <w:r w:rsidR="00ED6C91">
        <w:t>approved or run</w:t>
      </w:r>
      <w:r>
        <w:t xml:space="preserve"> by an Authorised Controlled Sports Body</w:t>
      </w:r>
      <w:r w:rsidR="002C5DFA">
        <w:t>, with a leeway of +10 per cent profit allowed above the event running cost</w:t>
      </w:r>
      <w:r>
        <w:t xml:space="preserve">.   </w:t>
      </w:r>
    </w:p>
    <w:p w:rsidR="002C5DFA" w:rsidRPr="00B50A03" w:rsidRDefault="002C5DFA" w:rsidP="00B50A03">
      <w:pPr>
        <w:pStyle w:val="Heading4"/>
        <w:rPr>
          <w:color w:val="auto"/>
        </w:rPr>
      </w:pPr>
      <w:r w:rsidRPr="00B50A03">
        <w:rPr>
          <w:color w:val="auto"/>
        </w:rPr>
        <w:t xml:space="preserve">Examples: </w:t>
      </w:r>
    </w:p>
    <w:p w:rsidR="00B50A03" w:rsidRPr="00B50A03" w:rsidRDefault="00B50A03" w:rsidP="002C5DFA">
      <w:pPr>
        <w:ind w:left="360"/>
        <w:rPr>
          <w:i/>
          <w:u w:val="single"/>
        </w:rPr>
      </w:pPr>
      <w:r w:rsidRPr="00B50A03">
        <w:rPr>
          <w:i/>
          <w:u w:val="single"/>
        </w:rPr>
        <w:t xml:space="preserve">Example One: </w:t>
      </w:r>
    </w:p>
    <w:p w:rsidR="002C5DFA" w:rsidRDefault="002C5DFA" w:rsidP="002C5DFA">
      <w:pPr>
        <w:ind w:left="360"/>
        <w:rPr>
          <w:i/>
        </w:rPr>
      </w:pPr>
      <w:r>
        <w:rPr>
          <w:i/>
        </w:rPr>
        <w:t xml:space="preserve">A </w:t>
      </w:r>
      <w:r w:rsidR="001D00E3">
        <w:rPr>
          <w:i/>
        </w:rPr>
        <w:t>controlled sports</w:t>
      </w:r>
      <w:r>
        <w:rPr>
          <w:i/>
        </w:rPr>
        <w:t xml:space="preserve"> event authorised by an Authorised Controlled Sports Body raises $3000 after ticket sales. The promoter can provide evidence that these funds are provided to the Authorised Controlled Sports Body</w:t>
      </w:r>
      <w:r w:rsidR="0038123A">
        <w:rPr>
          <w:i/>
        </w:rPr>
        <w:t xml:space="preserve"> for investment in the Body or its affiliate body</w:t>
      </w:r>
      <w:r>
        <w:rPr>
          <w:i/>
        </w:rPr>
        <w:t xml:space="preserve"> (after </w:t>
      </w:r>
      <w:r w:rsidR="00ED6C91">
        <w:rPr>
          <w:i/>
        </w:rPr>
        <w:t xml:space="preserve">event </w:t>
      </w:r>
      <w:r>
        <w:rPr>
          <w:i/>
        </w:rPr>
        <w:t>administration expenses). This event meets the criteria for one (1) above.</w:t>
      </w:r>
    </w:p>
    <w:p w:rsidR="00B50A03" w:rsidRPr="00B50A03" w:rsidRDefault="00B50A03" w:rsidP="002C5DFA">
      <w:pPr>
        <w:ind w:left="360"/>
        <w:rPr>
          <w:i/>
          <w:u w:val="single"/>
        </w:rPr>
      </w:pPr>
      <w:r w:rsidRPr="00B50A03">
        <w:rPr>
          <w:i/>
          <w:u w:val="single"/>
        </w:rPr>
        <w:t xml:space="preserve">Example Two: </w:t>
      </w:r>
    </w:p>
    <w:p w:rsidR="002C5DFA" w:rsidRDefault="002C5DFA" w:rsidP="002C5DFA">
      <w:pPr>
        <w:ind w:left="360"/>
        <w:rPr>
          <w:i/>
        </w:rPr>
      </w:pPr>
      <w:r w:rsidRPr="002C5DFA">
        <w:rPr>
          <w:i/>
        </w:rPr>
        <w:t xml:space="preserve">A </w:t>
      </w:r>
      <w:r w:rsidR="001D00E3">
        <w:rPr>
          <w:i/>
        </w:rPr>
        <w:t>controlled sports</w:t>
      </w:r>
      <w:r w:rsidRPr="002C5DFA">
        <w:rPr>
          <w:i/>
        </w:rPr>
        <w:t xml:space="preserve"> event </w:t>
      </w:r>
      <w:r w:rsidR="001D00E3">
        <w:rPr>
          <w:i/>
        </w:rPr>
        <w:t xml:space="preserve">approved or run </w:t>
      </w:r>
      <w:r>
        <w:rPr>
          <w:i/>
        </w:rPr>
        <w:t xml:space="preserve">by an Authorised Controlled Sports Body </w:t>
      </w:r>
      <w:r w:rsidRPr="002C5DFA">
        <w:rPr>
          <w:i/>
        </w:rPr>
        <w:t xml:space="preserve">costs $5000 to run. </w:t>
      </w:r>
      <w:r>
        <w:rPr>
          <w:i/>
        </w:rPr>
        <w:t xml:space="preserve">The proceeds of the event amount to $5,500. This event meets the criteria for two (2) above. </w:t>
      </w:r>
    </w:p>
    <w:p w:rsidR="00B50A03" w:rsidRPr="00B50A03" w:rsidRDefault="00B50A03" w:rsidP="002C5DFA">
      <w:pPr>
        <w:ind w:left="360"/>
        <w:rPr>
          <w:i/>
          <w:u w:val="single"/>
        </w:rPr>
      </w:pPr>
      <w:r w:rsidRPr="00B50A03">
        <w:rPr>
          <w:i/>
          <w:u w:val="single"/>
        </w:rPr>
        <w:t xml:space="preserve">Example Three: </w:t>
      </w:r>
    </w:p>
    <w:p w:rsidR="001D00E3" w:rsidRPr="002C5DFA" w:rsidRDefault="001D00E3" w:rsidP="002C5DFA">
      <w:pPr>
        <w:ind w:left="360"/>
        <w:rPr>
          <w:i/>
        </w:rPr>
      </w:pPr>
      <w:r>
        <w:rPr>
          <w:i/>
        </w:rPr>
        <w:t xml:space="preserve">A controlled sports event is approved by an Authorised Controlled Sports Body. Tickets are $80 each, with a total of 150 tickets being sold, resulting in $12,000 of ticket sales. $3000 of these funds are invested in the Authorised Controlled Sports Body, with the remaining profits (after event administration costs) retained by the promoter. This event does not meet the criteria and is therefore a registrable event. </w:t>
      </w:r>
    </w:p>
    <w:p w:rsidR="005C36A6" w:rsidRDefault="005C36A6" w:rsidP="005C36A6">
      <w:r>
        <w:lastRenderedPageBreak/>
        <w:t>The promoter/ organiser of the event must keep, and produce on request of the Controlled Sports</w:t>
      </w:r>
      <w:r w:rsidR="00ED6C91">
        <w:t xml:space="preserve"> Registrar</w:t>
      </w:r>
      <w:r>
        <w:t xml:space="preserve">, evidence that </w:t>
      </w:r>
      <w:r w:rsidR="00B50A03">
        <w:t>proceeds of</w:t>
      </w:r>
      <w:r>
        <w:t xml:space="preserve"> the non-registrable event in question, were used for one of the purposes described above.  </w:t>
      </w:r>
    </w:p>
    <w:p w:rsidR="000F5D73" w:rsidRDefault="000F5D73" w:rsidP="000F5D73">
      <w:pPr>
        <w:pStyle w:val="Heading3"/>
      </w:pPr>
      <w:bookmarkStart w:id="4" w:name="_Toc9243388"/>
      <w:r>
        <w:t>What evidence can be supplied?</w:t>
      </w:r>
      <w:bookmarkEnd w:id="4"/>
      <w:r>
        <w:t xml:space="preserve"> </w:t>
      </w:r>
    </w:p>
    <w:p w:rsidR="000F5D73" w:rsidRDefault="000F5D73" w:rsidP="000F5D73">
      <w:r>
        <w:t xml:space="preserve">Examples of evidence that can be supplied to substantiate the request to demonstrate that an event was not held for commercial purpose may include, but is not limited to: </w:t>
      </w:r>
    </w:p>
    <w:p w:rsidR="000F5D73" w:rsidRDefault="000F5D73" w:rsidP="000F5D73">
      <w:pPr>
        <w:pStyle w:val="ListParagraph"/>
        <w:numPr>
          <w:ilvl w:val="0"/>
          <w:numId w:val="34"/>
        </w:numPr>
      </w:pPr>
      <w:r>
        <w:t xml:space="preserve">Records of transfer of ticket sale proceeds to the Authorised Controlled Sports Body or their affiliate body; </w:t>
      </w:r>
    </w:p>
    <w:p w:rsidR="000F5D73" w:rsidRDefault="000F5D73" w:rsidP="000F5D73">
      <w:pPr>
        <w:pStyle w:val="ListParagraph"/>
        <w:numPr>
          <w:ilvl w:val="0"/>
          <w:numId w:val="34"/>
        </w:numPr>
      </w:pPr>
      <w:r>
        <w:t xml:space="preserve">Demonstration of event running costs such as invoices for event hire, insurance fees (for the event), payment of officials </w:t>
      </w:r>
      <w:r w:rsidR="002C5DFA">
        <w:t>(for the event)</w:t>
      </w:r>
      <w:r>
        <w:t xml:space="preserve">. </w:t>
      </w:r>
    </w:p>
    <w:p w:rsidR="00686363" w:rsidRDefault="00ED6C91" w:rsidP="00ED6C91">
      <w:r>
        <w:t>This evidence only needs to be supplied on request</w:t>
      </w:r>
      <w:r w:rsidR="001D00E3">
        <w:t xml:space="preserve"> in cases where an event may meet the threshold of a registrable event</w:t>
      </w:r>
      <w:r>
        <w:t xml:space="preserve">. </w:t>
      </w:r>
      <w:r w:rsidR="00686363">
        <w:t>Event</w:t>
      </w:r>
      <w:r w:rsidR="00B50A03">
        <w:t xml:space="preserve"> promoters/</w:t>
      </w:r>
      <w:r w:rsidR="00686363">
        <w:t xml:space="preserve">organisers will need to complete the </w:t>
      </w:r>
      <w:r w:rsidR="00686363" w:rsidRPr="00B50A03">
        <w:rPr>
          <w:i/>
        </w:rPr>
        <w:t>Checklist for Non-Registrable</w:t>
      </w:r>
      <w:r w:rsidR="00686363">
        <w:t xml:space="preserve"> events as part of the notification process, to ensure that registrable events are registered as such. </w:t>
      </w:r>
    </w:p>
    <w:p w:rsidR="00ED6C91" w:rsidRDefault="00686363" w:rsidP="00261732">
      <w:pPr>
        <w:pStyle w:val="Heading1"/>
      </w:pPr>
      <w:bookmarkStart w:id="5" w:name="_Toc9243389"/>
      <w:r>
        <w:t>Contacts</w:t>
      </w:r>
      <w:bookmarkEnd w:id="5"/>
    </w:p>
    <w:p w:rsidR="00686363" w:rsidRDefault="00686363" w:rsidP="00686363">
      <w:r>
        <w:t>If you are unsure whether or not your event is registrable or non-registrable, please contact Access</w:t>
      </w:r>
      <w:r w:rsidR="00B50A03">
        <w:t> </w:t>
      </w:r>
      <w:r>
        <w:t xml:space="preserve">Canberra and discuss the event with us. We can provide advice to guide you through the correct process. Remember that penalties apply for conducting registrable events without </w:t>
      </w:r>
      <w:r w:rsidR="00261732">
        <w:t xml:space="preserve">registration, and for conducting non-registrable events and not notifying the Controlled Sports Registrar. It is therefore always best that you discuss your circumstances with us at all times. </w:t>
      </w:r>
    </w:p>
    <w:p w:rsidR="00686363" w:rsidRDefault="00686363" w:rsidP="00686363">
      <w:r>
        <w:t xml:space="preserve">To get in touch with us, please email </w:t>
      </w:r>
      <w:hyperlink r:id="rId15" w:history="1">
        <w:r w:rsidRPr="0083430F">
          <w:rPr>
            <w:rStyle w:val="Hyperlink"/>
          </w:rPr>
          <w:t>controlledsports@act.gov.au</w:t>
        </w:r>
      </w:hyperlink>
      <w:r>
        <w:t xml:space="preserve"> or call Access Canberra on 13 22 81. </w:t>
      </w:r>
    </w:p>
    <w:p w:rsidR="00686363" w:rsidRDefault="00686363" w:rsidP="00686363">
      <w:pPr>
        <w:rPr>
          <w:rFonts w:ascii="Source Sans Pro" w:hAnsi="Source Sans Pro"/>
          <w:color w:val="212529"/>
          <w:shd w:val="clear" w:color="auto" w:fill="FFFFFF"/>
        </w:rPr>
      </w:pPr>
      <w:r>
        <w:t xml:space="preserve">You can also contact Access Canberra using the </w:t>
      </w:r>
      <w:hyperlink r:id="rId16" w:history="1">
        <w:r>
          <w:rPr>
            <w:rStyle w:val="Hyperlink"/>
            <w:rFonts w:ascii="Source Sans Pro" w:hAnsi="Source Sans Pro"/>
            <w:color w:val="313131"/>
            <w:shd w:val="clear" w:color="auto" w:fill="FFFFFF"/>
          </w:rPr>
          <w:t>online feedback system</w:t>
        </w:r>
      </w:hyperlink>
      <w:r>
        <w:rPr>
          <w:rFonts w:ascii="Source Sans Pro" w:hAnsi="Source Sans Pro"/>
          <w:color w:val="212529"/>
          <w:shd w:val="clear" w:color="auto" w:fill="FFFFFF"/>
        </w:rPr>
        <w:t>, in </w:t>
      </w:r>
      <w:hyperlink r:id="rId17" w:anchor="tabs-4" w:history="1">
        <w:r>
          <w:rPr>
            <w:rStyle w:val="Hyperlink"/>
            <w:rFonts w:ascii="Source Sans Pro" w:hAnsi="Source Sans Pro"/>
            <w:color w:val="313131"/>
            <w:shd w:val="clear" w:color="auto" w:fill="FFFFFF"/>
          </w:rPr>
          <w:t>person</w:t>
        </w:r>
      </w:hyperlink>
      <w:r>
        <w:rPr>
          <w:rFonts w:ascii="Source Sans Pro" w:hAnsi="Source Sans Pro"/>
          <w:color w:val="212529"/>
          <w:shd w:val="clear" w:color="auto" w:fill="FFFFFF"/>
        </w:rPr>
        <w:t> or by </w:t>
      </w:r>
      <w:hyperlink r:id="rId18" w:anchor="tabs-5" w:history="1">
        <w:r>
          <w:rPr>
            <w:rStyle w:val="Hyperlink"/>
            <w:rFonts w:ascii="Source Sans Pro" w:hAnsi="Source Sans Pro"/>
            <w:color w:val="313131"/>
            <w:shd w:val="clear" w:color="auto" w:fill="FFFFFF"/>
          </w:rPr>
          <w:t>post</w:t>
        </w:r>
      </w:hyperlink>
      <w:r>
        <w:rPr>
          <w:rFonts w:ascii="Source Sans Pro" w:hAnsi="Source Sans Pro"/>
          <w:color w:val="212529"/>
          <w:shd w:val="clear" w:color="auto" w:fill="FFFFFF"/>
        </w:rPr>
        <w:t>.</w:t>
      </w:r>
    </w:p>
    <w:p w:rsidR="00261732" w:rsidRDefault="00261732" w:rsidP="00261732">
      <w:pPr>
        <w:pStyle w:val="Heading1"/>
        <w:rPr>
          <w:shd w:val="clear" w:color="auto" w:fill="FFFFFF"/>
        </w:rPr>
      </w:pPr>
      <w:bookmarkStart w:id="6" w:name="_Toc9243390"/>
      <w:r>
        <w:rPr>
          <w:shd w:val="clear" w:color="auto" w:fill="FFFFFF"/>
        </w:rPr>
        <w:t>Frequently asked questions</w:t>
      </w:r>
      <w:bookmarkEnd w:id="6"/>
      <w:r>
        <w:rPr>
          <w:shd w:val="clear" w:color="auto" w:fill="FFFFFF"/>
        </w:rPr>
        <w:t xml:space="preserve"> </w:t>
      </w:r>
    </w:p>
    <w:p w:rsidR="00261732" w:rsidRPr="00261732" w:rsidRDefault="00261732" w:rsidP="00261732">
      <w:pPr>
        <w:pStyle w:val="Heading4"/>
        <w:rPr>
          <w:color w:val="auto"/>
        </w:rPr>
      </w:pPr>
      <w:bookmarkStart w:id="7" w:name="_Toc9243391"/>
      <w:r w:rsidRPr="00261732">
        <w:rPr>
          <w:color w:val="auto"/>
        </w:rPr>
        <w:t>Can I run a registrable event concurrently with a non-registrable event?</w:t>
      </w:r>
      <w:bookmarkEnd w:id="7"/>
      <w:r w:rsidRPr="00261732">
        <w:rPr>
          <w:color w:val="auto"/>
        </w:rPr>
        <w:t xml:space="preserve"> </w:t>
      </w:r>
    </w:p>
    <w:p w:rsidR="00261732" w:rsidRDefault="00261732" w:rsidP="00261732">
      <w:r>
        <w:t xml:space="preserve">No. In these instances the entire event is a registrable event. </w:t>
      </w:r>
    </w:p>
    <w:p w:rsidR="00261732" w:rsidRPr="00A97A4B" w:rsidRDefault="00261732" w:rsidP="00261732">
      <w:pPr>
        <w:pStyle w:val="Heading4"/>
        <w:rPr>
          <w:bCs w:val="0"/>
          <w:color w:val="auto"/>
          <w:szCs w:val="21"/>
        </w:rPr>
      </w:pPr>
      <w:bookmarkStart w:id="8" w:name="_Toc8378068"/>
      <w:bookmarkStart w:id="9" w:name="_Toc8378833"/>
      <w:bookmarkStart w:id="10" w:name="_Toc9243392"/>
      <w:r w:rsidRPr="00A97A4B">
        <w:rPr>
          <w:bCs w:val="0"/>
          <w:color w:val="auto"/>
          <w:szCs w:val="21"/>
        </w:rPr>
        <w:t xml:space="preserve">Can I run a non-registrable event concurrently with </w:t>
      </w:r>
      <w:r>
        <w:rPr>
          <w:bCs w:val="0"/>
          <w:color w:val="auto"/>
          <w:szCs w:val="21"/>
        </w:rPr>
        <w:t>an</w:t>
      </w:r>
      <w:r w:rsidRPr="00A97A4B">
        <w:rPr>
          <w:bCs w:val="0"/>
          <w:color w:val="auto"/>
          <w:szCs w:val="21"/>
        </w:rPr>
        <w:t xml:space="preserve"> exempted light contact combat sport?</w:t>
      </w:r>
      <w:bookmarkEnd w:id="8"/>
      <w:bookmarkEnd w:id="9"/>
      <w:bookmarkEnd w:id="10"/>
      <w:r w:rsidRPr="00A97A4B">
        <w:rPr>
          <w:bCs w:val="0"/>
          <w:color w:val="auto"/>
          <w:szCs w:val="21"/>
        </w:rPr>
        <w:t xml:space="preserve"> </w:t>
      </w:r>
    </w:p>
    <w:p w:rsidR="00261732" w:rsidRDefault="00261732" w:rsidP="00261732">
      <w:r>
        <w:t xml:space="preserve">Yes, you can run a non-registrable event concurrently with an exempted light contact combat sports event. The components that are not exempted must be reported in accordance with the type of event i.e. registrable or non-registrable. To learn more about obtaining light contact combat sport exemptions, please see the </w:t>
      </w:r>
      <w:r w:rsidRPr="00B50A03">
        <w:rPr>
          <w:i/>
        </w:rPr>
        <w:t>Light Contact Combat Sports: Policy for Exemptions</w:t>
      </w:r>
      <w:r>
        <w:t xml:space="preserve">. </w:t>
      </w:r>
    </w:p>
    <w:p w:rsidR="00261732" w:rsidRPr="00261732" w:rsidRDefault="00261732" w:rsidP="00261732">
      <w:pPr>
        <w:pStyle w:val="Heading4"/>
        <w:rPr>
          <w:color w:val="auto"/>
        </w:rPr>
      </w:pPr>
      <w:bookmarkStart w:id="11" w:name="_Toc9243393"/>
      <w:r w:rsidRPr="00261732">
        <w:rPr>
          <w:color w:val="auto"/>
        </w:rPr>
        <w:t>I’m not sure whether my event is a registrable or non-registrable event. What should I do?</w:t>
      </w:r>
      <w:bookmarkEnd w:id="11"/>
      <w:r w:rsidRPr="00261732">
        <w:rPr>
          <w:color w:val="auto"/>
        </w:rPr>
        <w:t xml:space="preserve"> </w:t>
      </w:r>
    </w:p>
    <w:p w:rsidR="00261732" w:rsidRDefault="00261732" w:rsidP="00261732">
      <w:r>
        <w:t xml:space="preserve">If you have completed the </w:t>
      </w:r>
      <w:r w:rsidRPr="00B50A03">
        <w:rPr>
          <w:i/>
        </w:rPr>
        <w:t>non-registrable event checklist</w:t>
      </w:r>
      <w:r>
        <w:t xml:space="preserve"> and you are still unsure, please contact Access Canberra by one of the methods above. </w:t>
      </w:r>
    </w:p>
    <w:p w:rsidR="00B50A03" w:rsidRPr="00B50A03" w:rsidRDefault="00B50A03" w:rsidP="00B50A03">
      <w:pPr>
        <w:pStyle w:val="Heading4"/>
        <w:rPr>
          <w:color w:val="auto"/>
        </w:rPr>
      </w:pPr>
      <w:r w:rsidRPr="00B50A03">
        <w:rPr>
          <w:color w:val="auto"/>
        </w:rPr>
        <w:t xml:space="preserve">What is an event administration expense? </w:t>
      </w:r>
    </w:p>
    <w:p w:rsidR="00B50A03" w:rsidRDefault="00B50A03" w:rsidP="00261732">
      <w:r>
        <w:t xml:space="preserve">An administration expense may include things like, but not limited to – venue hire fees, insurance costs, payment of staff at the event e.g. referees, contestant and official travel costs, and equipment costs e.g. set-up, transport. </w:t>
      </w:r>
    </w:p>
    <w:p w:rsidR="00B50A03" w:rsidRDefault="00B50A03" w:rsidP="00261732">
      <w:r>
        <w:t xml:space="preserve">It does not include costs such as the awarding of prize money or valuable rewards to contestants or sports bookmaking fees. These matters mean that the event is a registrable event. </w:t>
      </w:r>
    </w:p>
    <w:p w:rsidR="00261732" w:rsidRPr="00261732" w:rsidRDefault="00261732" w:rsidP="00261732"/>
    <w:p w:rsidR="00686363" w:rsidRPr="00686363" w:rsidRDefault="00686363" w:rsidP="00686363"/>
    <w:p w:rsidR="00686363" w:rsidRDefault="00686363" w:rsidP="00ED6C91"/>
    <w:p w:rsidR="000F5D73" w:rsidRDefault="000F5D73" w:rsidP="005C36A6"/>
    <w:p w:rsidR="00742F5A" w:rsidRDefault="00742F5A" w:rsidP="00742F5A"/>
    <w:p w:rsidR="005C36A6" w:rsidRDefault="005C36A6" w:rsidP="00742F5A"/>
    <w:p w:rsidR="005C36A6" w:rsidRDefault="005C36A6" w:rsidP="00742F5A"/>
    <w:p w:rsidR="005C36A6" w:rsidRDefault="005C36A6" w:rsidP="00742F5A"/>
    <w:p w:rsidR="005C36A6" w:rsidRDefault="005C36A6" w:rsidP="00742F5A"/>
    <w:p w:rsidR="00731AE2" w:rsidRDefault="00731AE2" w:rsidP="00AE6BD7">
      <w:pPr>
        <w:spacing w:after="0" w:line="240" w:lineRule="auto"/>
        <w:rPr>
          <w:rFonts w:ascii="Montserrat" w:eastAsia="Times New Roman" w:hAnsi="Montserrat"/>
          <w:caps/>
          <w:color w:val="F79646"/>
          <w:sz w:val="48"/>
          <w:szCs w:val="48"/>
        </w:rPr>
      </w:pPr>
    </w:p>
    <w:p w:rsidR="00731AE2" w:rsidRDefault="00731AE2" w:rsidP="00AE6BD7">
      <w:pPr>
        <w:spacing w:after="0" w:line="240" w:lineRule="auto"/>
        <w:rPr>
          <w:rFonts w:ascii="Montserrat" w:eastAsia="Times New Roman" w:hAnsi="Montserrat"/>
          <w:caps/>
          <w:color w:val="F79646"/>
          <w:sz w:val="48"/>
          <w:szCs w:val="48"/>
        </w:rPr>
      </w:pPr>
    </w:p>
    <w:p w:rsidR="00AE6BD7" w:rsidRDefault="00AE6BD7" w:rsidP="00731AE2">
      <w:pPr>
        <w:pStyle w:val="ListParagraph"/>
        <w:rPr>
          <w:rFonts w:ascii="Times New Roman" w:hAnsi="Times New Roman"/>
          <w:sz w:val="24"/>
          <w:szCs w:val="24"/>
        </w:rPr>
      </w:pPr>
    </w:p>
    <w:p w:rsidR="00A56436" w:rsidRDefault="006D2273" w:rsidP="00860B3E">
      <w:pPr>
        <w:spacing w:line="276" w:lineRule="auto"/>
      </w:pPr>
      <w:bookmarkStart w:id="12" w:name="_Toc457377884"/>
      <w:bookmarkEnd w:id="12"/>
      <w:r>
        <w:rPr>
          <w:noProof/>
        </w:rPr>
        <w:drawing>
          <wp:anchor distT="0" distB="0" distL="114300" distR="114300" simplePos="0" relativeHeight="251681792" behindDoc="1" locked="0" layoutInCell="1" allowOverlap="1">
            <wp:simplePos x="0" y="0"/>
            <wp:positionH relativeFrom="page">
              <wp:posOffset>1834</wp:posOffset>
            </wp:positionH>
            <wp:positionV relativeFrom="page">
              <wp:posOffset>0</wp:posOffset>
            </wp:positionV>
            <wp:extent cx="7628332" cy="10790399"/>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7628332" cy="10790399"/>
                    </a:xfrm>
                    <a:prstGeom prst="rect">
                      <a:avLst/>
                    </a:prstGeom>
                    <a:noFill/>
                  </pic:spPr>
                </pic:pic>
              </a:graphicData>
            </a:graphic>
          </wp:anchor>
        </w:drawing>
      </w:r>
    </w:p>
    <w:p w:rsidR="00B70B52" w:rsidRDefault="00B70B52">
      <w:pPr>
        <w:spacing w:line="276" w:lineRule="auto"/>
        <w:rPr>
          <w:rFonts w:eastAsia="TimesNewRomanPS-ItalicMT"/>
        </w:rPr>
      </w:pPr>
    </w:p>
    <w:p w:rsidR="007903B1" w:rsidRDefault="007903B1">
      <w:pPr>
        <w:spacing w:line="276" w:lineRule="auto"/>
        <w:rPr>
          <w:rFonts w:eastAsia="TimesNewRomanPS-ItalicMT"/>
        </w:rPr>
      </w:pPr>
    </w:p>
    <w:p w:rsidR="007D5985" w:rsidRPr="003B2710" w:rsidRDefault="007D5985" w:rsidP="007D5985">
      <w:pPr>
        <w:rPr>
          <w:rFonts w:eastAsia="TimesNewRomanPS-ItalicMT"/>
        </w:rPr>
      </w:pPr>
    </w:p>
    <w:p w:rsidR="00632F54" w:rsidRPr="00632F54" w:rsidRDefault="00496C0F" w:rsidP="00632F54">
      <w:pPr>
        <w:pStyle w:val="Heading2"/>
      </w:pPr>
      <w:bookmarkStart w:id="13" w:name="_Toc9243394"/>
      <w:r>
        <w:rPr>
          <w:noProof/>
        </w:rPr>
        <w:drawing>
          <wp:anchor distT="0" distB="0" distL="114300" distR="114300" simplePos="0" relativeHeight="251658240" behindDoc="0" locked="0" layoutInCell="1" allowOverlap="1">
            <wp:simplePos x="0" y="0"/>
            <wp:positionH relativeFrom="margin">
              <wp:posOffset>5715</wp:posOffset>
            </wp:positionH>
            <wp:positionV relativeFrom="page">
              <wp:posOffset>7205980</wp:posOffset>
            </wp:positionV>
            <wp:extent cx="1413510" cy="721995"/>
            <wp:effectExtent l="19050" t="0" r="0" b="0"/>
            <wp:wrapSquare wrapText="bothSides"/>
            <wp:docPr id="8"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tretch>
                      <a:fillRect/>
                    </a:stretch>
                  </pic:blipFill>
                  <pic:spPr bwMode="auto">
                    <a:xfrm>
                      <a:off x="0" y="0"/>
                      <a:ext cx="1413510" cy="721995"/>
                    </a:xfrm>
                    <a:prstGeom prst="rect">
                      <a:avLst/>
                    </a:prstGeom>
                    <a:noFill/>
                  </pic:spPr>
                </pic:pic>
              </a:graphicData>
            </a:graphic>
          </wp:anchor>
        </w:drawing>
      </w:r>
      <w:r w:rsidR="005115E8">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ge">
                  <wp:posOffset>9001125</wp:posOffset>
                </wp:positionV>
                <wp:extent cx="3439795" cy="916940"/>
                <wp:effectExtent l="0" t="0" r="3175"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72C" w:rsidRPr="000016B9" w:rsidRDefault="0055372C" w:rsidP="0055372C">
                            <w:pPr>
                              <w:pStyle w:val="Intro"/>
                              <w:rPr>
                                <w:caps/>
                                <w:color w:val="FFFFFF"/>
                              </w:rPr>
                            </w:pPr>
                            <w:r>
                              <w:rPr>
                                <w:color w:val="FFFFFF"/>
                              </w:rPr>
                              <w:t xml:space="preserve">Chief Minister, Treasury &amp; Economic Development Directorate </w:t>
                            </w:r>
                          </w:p>
                          <w:p w:rsidR="0055372C" w:rsidRPr="000016B9" w:rsidRDefault="0055372C" w:rsidP="0055372C">
                            <w:pPr>
                              <w:pStyle w:val="Intro"/>
                              <w:rPr>
                                <w:caps/>
                                <w:color w:val="FFFFFF"/>
                              </w:rPr>
                            </w:pPr>
                            <w:r>
                              <w:rPr>
                                <w:color w:val="FFFFFF"/>
                              </w:rPr>
                              <w:t xml:space="preserve">June 2019 </w:t>
                            </w:r>
                          </w:p>
                          <w:p w:rsidR="00246AAC" w:rsidRPr="003D4DBC" w:rsidRDefault="00246AAC" w:rsidP="000016B9">
                            <w:pPr>
                              <w:pStyle w:val="Intro"/>
                              <w:rPr>
                                <w:color w:val="FFFFFF" w:themeColor="background1"/>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8" type="#_x0000_t202" style="position:absolute;margin-left:0;margin-top:708.75pt;width:270.85pt;height:7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" filled="f" stroked="f">
                <v:textbox style="mso-fit-shape-to-text:t">
                  <w:txbxContent>
                    <w:p w:rsidR="0055372C" w:rsidRPr="000016B9" w:rsidRDefault="0055372C" w:rsidP="0055372C">
                      <w:pPr>
                        <w:pStyle w:val="Intro"/>
                        <w:rPr>
                          <w:caps/>
                          <w:color w:val="FFFFFF"/>
                        </w:rPr>
                      </w:pPr>
                      <w:r>
                        <w:rPr>
                          <w:color w:val="FFFFFF"/>
                        </w:rPr>
                        <w:t xml:space="preserve">Chief Minister, Treasury &amp; Economic Development Directorate </w:t>
                      </w:r>
                    </w:p>
                    <w:p w:rsidR="0055372C" w:rsidRPr="000016B9" w:rsidRDefault="0055372C" w:rsidP="0055372C">
                      <w:pPr>
                        <w:pStyle w:val="Intro"/>
                        <w:rPr>
                          <w:caps/>
                          <w:color w:val="FFFFFF"/>
                        </w:rPr>
                      </w:pPr>
                      <w:r>
                        <w:rPr>
                          <w:color w:val="FFFFFF"/>
                        </w:rPr>
                        <w:t xml:space="preserve">June 2019 </w:t>
                      </w:r>
                    </w:p>
                    <w:p w:rsidR="00246AAC" w:rsidRPr="003D4DBC" w:rsidRDefault="00246AAC" w:rsidP="000016B9">
                      <w:pPr>
                        <w:pStyle w:val="Intro"/>
                        <w:rPr>
                          <w:color w:val="FFFFFF" w:themeColor="background1"/>
                        </w:rPr>
                      </w:pPr>
                    </w:p>
                  </w:txbxContent>
                </v:textbox>
                <w10:wrap anchory="page"/>
              </v:shape>
            </w:pict>
          </mc:Fallback>
        </mc:AlternateContent>
      </w:r>
      <w:bookmarkEnd w:id="13"/>
      <w:r>
        <w:t xml:space="preserve"> </w:t>
      </w:r>
    </w:p>
    <w:sectPr w:rsidR="00632F54" w:rsidRPr="00632F54" w:rsidSect="005115E8">
      <w:headerReference w:type="default" r:id="rId20"/>
      <w:footerReference w:type="default" r:id="rId21"/>
      <w:type w:val="continuous"/>
      <w:pgSz w:w="11906" w:h="16838" w:code="9"/>
      <w:pgMar w:top="1253" w:right="1418" w:bottom="1701"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C0E" w:rsidRDefault="009F3C0E" w:rsidP="00665B9F">
      <w:pPr>
        <w:spacing w:after="0" w:line="240" w:lineRule="auto"/>
      </w:pPr>
      <w:r>
        <w:separator/>
      </w:r>
    </w:p>
  </w:endnote>
  <w:endnote w:type="continuationSeparator" w:id="0">
    <w:p w:rsidR="009F3C0E" w:rsidRDefault="009F3C0E"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0E3" w:rsidRPr="000A6B63" w:rsidRDefault="001D00E3" w:rsidP="00731AE2">
    <w:pPr>
      <w:pStyle w:val="Intro"/>
      <w:tabs>
        <w:tab w:val="right" w:pos="8789"/>
        <w:tab w:val="right" w:pos="9070"/>
      </w:tabs>
    </w:pPr>
    <w:r>
      <w:rPr>
        <w:noProof/>
        <w:sz w:val="18"/>
        <w:szCs w:val="18"/>
      </w:rPr>
      <mc:AlternateContent>
        <mc:Choice Requires="wps">
          <w:drawing>
            <wp:anchor distT="0" distB="0" distL="114300" distR="114300" simplePos="0" relativeHeight="251660800" behindDoc="0" locked="0" layoutInCell="1" allowOverlap="1" wp14:anchorId="5803ADA7" wp14:editId="2029CF77">
              <wp:simplePos x="0" y="0"/>
              <wp:positionH relativeFrom="column">
                <wp:posOffset>-900430</wp:posOffset>
              </wp:positionH>
              <wp:positionV relativeFrom="paragraph">
                <wp:posOffset>-179705</wp:posOffset>
              </wp:positionV>
              <wp:extent cx="7560945" cy="0"/>
              <wp:effectExtent l="9525" t="10160" r="11430" b="88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227C7F"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bx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fJjO0kU+xYh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"/>
          </w:pict>
        </mc:Fallback>
      </mc:AlternateContent>
    </w:r>
    <w:r w:rsidR="00261732">
      <w:rPr>
        <w:sz w:val="18"/>
        <w:szCs w:val="18"/>
      </w:rPr>
      <w:t xml:space="preserve">Commercial Purpose Policy – </w:t>
    </w:r>
    <w:r w:rsidR="00261732" w:rsidRPr="00261732">
      <w:rPr>
        <w:i/>
        <w:sz w:val="18"/>
        <w:szCs w:val="18"/>
      </w:rPr>
      <w:t>Controlled Sports Act 2019</w:t>
    </w:r>
    <w:r>
      <w:tab/>
    </w:r>
    <w:r w:rsidRPr="00B02277">
      <w:rPr>
        <w:sz w:val="20"/>
        <w:szCs w:val="20"/>
      </w:rPr>
      <w:fldChar w:fldCharType="begin"/>
    </w:r>
    <w:r w:rsidRPr="00B02277">
      <w:rPr>
        <w:sz w:val="20"/>
        <w:szCs w:val="20"/>
      </w:rPr>
      <w:instrText xml:space="preserve"> PAGE   \* MERGEFORMAT </w:instrText>
    </w:r>
    <w:r w:rsidRPr="00B02277">
      <w:rPr>
        <w:sz w:val="20"/>
        <w:szCs w:val="20"/>
      </w:rPr>
      <w:fldChar w:fldCharType="separate"/>
    </w:r>
    <w:r w:rsidR="00E203E3">
      <w:rPr>
        <w:noProof/>
        <w:sz w:val="20"/>
        <w:szCs w:val="20"/>
      </w:rPr>
      <w:t>1</w:t>
    </w:r>
    <w:r w:rsidRPr="00B02277">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AAC" w:rsidRPr="000A6B63" w:rsidRDefault="00246AAC" w:rsidP="00731AE2">
    <w:pPr>
      <w:pStyle w:val="Intro"/>
      <w:tabs>
        <w:tab w:val="right" w:pos="8789"/>
        <w:tab w:val="right" w:pos="9070"/>
      </w:tabs>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-900430</wp:posOffset>
              </wp:positionH>
              <wp:positionV relativeFrom="paragraph">
                <wp:posOffset>-179705</wp:posOffset>
              </wp:positionV>
              <wp:extent cx="7560945" cy="0"/>
              <wp:effectExtent l="9525" t="10160" r="11430" b="889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18B267"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"/>
          </w:pict>
        </mc:Fallback>
      </mc:AlternateContent>
    </w:r>
    <w:r w:rsidR="00261732" w:rsidRPr="00261732">
      <w:rPr>
        <w:sz w:val="18"/>
        <w:szCs w:val="18"/>
      </w:rPr>
      <w:t xml:space="preserve"> </w:t>
    </w:r>
    <w:r w:rsidR="00261732">
      <w:rPr>
        <w:sz w:val="18"/>
        <w:szCs w:val="18"/>
      </w:rPr>
      <w:t xml:space="preserve">Commercial Purpose Policy – </w:t>
    </w:r>
    <w:r w:rsidR="00261732" w:rsidRPr="00261732">
      <w:rPr>
        <w:i/>
        <w:sz w:val="18"/>
        <w:szCs w:val="18"/>
      </w:rPr>
      <w:t>Controlled Sports Act 2019</w:t>
    </w:r>
    <w:r>
      <w:tab/>
    </w:r>
    <w:r w:rsidRPr="00B02277">
      <w:rPr>
        <w:sz w:val="20"/>
        <w:szCs w:val="20"/>
      </w:rPr>
      <w:fldChar w:fldCharType="begin"/>
    </w:r>
    <w:r w:rsidRPr="00B02277">
      <w:rPr>
        <w:sz w:val="20"/>
        <w:szCs w:val="20"/>
      </w:rPr>
      <w:instrText xml:space="preserve"> PAGE   \* MERGEFORMAT </w:instrText>
    </w:r>
    <w:r w:rsidRPr="00B02277">
      <w:rPr>
        <w:sz w:val="20"/>
        <w:szCs w:val="20"/>
      </w:rPr>
      <w:fldChar w:fldCharType="separate"/>
    </w:r>
    <w:r w:rsidR="00A32EBC">
      <w:rPr>
        <w:noProof/>
        <w:sz w:val="20"/>
        <w:szCs w:val="20"/>
      </w:rPr>
      <w:t>5</w:t>
    </w:r>
    <w:r w:rsidRPr="00B02277">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C0E" w:rsidRDefault="009F3C0E" w:rsidP="00665B9F">
      <w:pPr>
        <w:spacing w:after="0" w:line="240" w:lineRule="auto"/>
      </w:pPr>
      <w:r>
        <w:separator/>
      </w:r>
    </w:p>
  </w:footnote>
  <w:footnote w:type="continuationSeparator" w:id="0">
    <w:p w:rsidR="009F3C0E" w:rsidRDefault="009F3C0E" w:rsidP="00665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0E3" w:rsidRPr="006046FF" w:rsidRDefault="001D00E3" w:rsidP="002009BA">
    <w:pPr>
      <w:pStyle w:val="Intro"/>
      <w:rPr>
        <w:b/>
        <w:caps/>
        <w:color w:val="000000" w:themeColor="text1"/>
      </w:rPr>
    </w:pPr>
    <w:r w:rsidRPr="006046FF">
      <w:rPr>
        <w:b/>
        <w:caps/>
        <w:noProof/>
        <w:color w:val="000000" w:themeColor="text1"/>
      </w:rPr>
      <w:drawing>
        <wp:anchor distT="0" distB="0" distL="114300" distR="114300" simplePos="0" relativeHeight="251661824" behindDoc="1" locked="0" layoutInCell="1" allowOverlap="1" wp14:anchorId="2DEB80F9" wp14:editId="3EBF9D55">
          <wp:simplePos x="0" y="0"/>
          <wp:positionH relativeFrom="page">
            <wp:posOffset>534035</wp:posOffset>
          </wp:positionH>
          <wp:positionV relativeFrom="page">
            <wp:posOffset>-584200</wp:posOffset>
          </wp:positionV>
          <wp:extent cx="7632000" cy="903600"/>
          <wp:effectExtent l="38100" t="0" r="7620" b="640080"/>
          <wp:wrapNone/>
          <wp:docPr id="3"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r>
      <w:rPr>
        <w:b/>
        <w:caps/>
        <w:color w:val="000000" w:themeColor="text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AAC" w:rsidRPr="006046FF" w:rsidRDefault="00246AAC" w:rsidP="002009BA">
    <w:pPr>
      <w:pStyle w:val="Intro"/>
      <w:rPr>
        <w:b/>
        <w:caps/>
        <w:color w:val="000000" w:themeColor="text1"/>
      </w:rPr>
    </w:pPr>
    <w:r w:rsidRPr="006046FF">
      <w:rPr>
        <w:b/>
        <w:caps/>
        <w:noProof/>
        <w:color w:val="000000" w:themeColor="text1"/>
      </w:rPr>
      <w:drawing>
        <wp:anchor distT="0" distB="0" distL="114300" distR="114300" simplePos="0" relativeHeight="251658752" behindDoc="1" locked="0" layoutInCell="1" allowOverlap="1">
          <wp:simplePos x="0" y="0"/>
          <wp:positionH relativeFrom="page">
            <wp:posOffset>534035</wp:posOffset>
          </wp:positionH>
          <wp:positionV relativeFrom="page">
            <wp:posOffset>-584200</wp:posOffset>
          </wp:positionV>
          <wp:extent cx="7632000" cy="903600"/>
          <wp:effectExtent l="38100" t="0" r="7620" b="640080"/>
          <wp:wrapNone/>
          <wp:docPr id="14"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r>
      <w:rPr>
        <w:b/>
        <w:caps/>
        <w:color w:val="000000" w:themeColor="text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E148F1"/>
    <w:multiLevelType w:val="hybridMultilevel"/>
    <w:tmpl w:val="DBACE5A8"/>
    <w:lvl w:ilvl="0" w:tplc="35C2D6D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5"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B3C4A3C"/>
    <w:multiLevelType w:val="hybridMultilevel"/>
    <w:tmpl w:val="44B66F88"/>
    <w:lvl w:ilvl="0" w:tplc="35C2D6D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99516C"/>
    <w:multiLevelType w:val="hybridMultilevel"/>
    <w:tmpl w:val="D3A4C840"/>
    <w:lvl w:ilvl="0" w:tplc="35C2D6D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5"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9"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0"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7F45AAA"/>
    <w:multiLevelType w:val="hybridMultilevel"/>
    <w:tmpl w:val="C0449F3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3"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0"/>
  </w:num>
  <w:num w:numId="4">
    <w:abstractNumId w:val="28"/>
  </w:num>
  <w:num w:numId="5">
    <w:abstractNumId w:val="23"/>
  </w:num>
  <w:num w:numId="6">
    <w:abstractNumId w:val="16"/>
  </w:num>
  <w:num w:numId="7">
    <w:abstractNumId w:val="33"/>
  </w:num>
  <w:num w:numId="8">
    <w:abstractNumId w:val="21"/>
  </w:num>
  <w:num w:numId="9">
    <w:abstractNumId w:val="11"/>
  </w:num>
  <w:num w:numId="10">
    <w:abstractNumId w:val="24"/>
  </w:num>
  <w:num w:numId="11">
    <w:abstractNumId w:val="19"/>
  </w:num>
  <w:num w:numId="12">
    <w:abstractNumId w:val="29"/>
  </w:num>
  <w:num w:numId="13">
    <w:abstractNumId w:val="14"/>
  </w:num>
  <w:num w:numId="14">
    <w:abstractNumId w:val="20"/>
  </w:num>
  <w:num w:numId="15">
    <w:abstractNumId w:val="22"/>
  </w:num>
  <w:num w:numId="16">
    <w:abstractNumId w:val="13"/>
  </w:num>
  <w:num w:numId="17">
    <w:abstractNumId w:val="15"/>
  </w:num>
  <w:num w:numId="18">
    <w:abstractNumId w:val="2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25"/>
  </w:num>
  <w:num w:numId="31">
    <w:abstractNumId w:val="32"/>
  </w:num>
  <w:num w:numId="32">
    <w:abstractNumId w:val="12"/>
  </w:num>
  <w:num w:numId="33">
    <w:abstractNumId w:val="17"/>
  </w:num>
  <w:num w:numId="34">
    <w:abstractNumId w:val="18"/>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drawingGridHorizontalSpacing w:val="10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C0E"/>
    <w:rsid w:val="000016B9"/>
    <w:rsid w:val="000068D5"/>
    <w:rsid w:val="00030790"/>
    <w:rsid w:val="00030CC1"/>
    <w:rsid w:val="00034546"/>
    <w:rsid w:val="00036B92"/>
    <w:rsid w:val="000419C1"/>
    <w:rsid w:val="00043B50"/>
    <w:rsid w:val="000446A5"/>
    <w:rsid w:val="0005196D"/>
    <w:rsid w:val="000650AF"/>
    <w:rsid w:val="00065CEA"/>
    <w:rsid w:val="00070067"/>
    <w:rsid w:val="0007453E"/>
    <w:rsid w:val="00076803"/>
    <w:rsid w:val="00090A83"/>
    <w:rsid w:val="000A2FFC"/>
    <w:rsid w:val="000A6B63"/>
    <w:rsid w:val="000B13CB"/>
    <w:rsid w:val="000C3F1E"/>
    <w:rsid w:val="000C6C34"/>
    <w:rsid w:val="000F5CCD"/>
    <w:rsid w:val="000F5D73"/>
    <w:rsid w:val="000F5D86"/>
    <w:rsid w:val="0011798B"/>
    <w:rsid w:val="0015010B"/>
    <w:rsid w:val="00152EB7"/>
    <w:rsid w:val="0016080C"/>
    <w:rsid w:val="001623DE"/>
    <w:rsid w:val="001912A2"/>
    <w:rsid w:val="001966FA"/>
    <w:rsid w:val="00197666"/>
    <w:rsid w:val="001A0139"/>
    <w:rsid w:val="001A0956"/>
    <w:rsid w:val="001C1FF2"/>
    <w:rsid w:val="001D00E3"/>
    <w:rsid w:val="001E7690"/>
    <w:rsid w:val="001E76BA"/>
    <w:rsid w:val="002009BA"/>
    <w:rsid w:val="00203525"/>
    <w:rsid w:val="00214A8E"/>
    <w:rsid w:val="00215465"/>
    <w:rsid w:val="00246AAC"/>
    <w:rsid w:val="002479CE"/>
    <w:rsid w:val="00261732"/>
    <w:rsid w:val="002846D8"/>
    <w:rsid w:val="0029668D"/>
    <w:rsid w:val="002A0832"/>
    <w:rsid w:val="002A093C"/>
    <w:rsid w:val="002A5458"/>
    <w:rsid w:val="002C5DFA"/>
    <w:rsid w:val="002C6B74"/>
    <w:rsid w:val="002D33BC"/>
    <w:rsid w:val="002D6623"/>
    <w:rsid w:val="002E7655"/>
    <w:rsid w:val="002F3300"/>
    <w:rsid w:val="003010B0"/>
    <w:rsid w:val="003238CE"/>
    <w:rsid w:val="003439ED"/>
    <w:rsid w:val="00354F6D"/>
    <w:rsid w:val="003633F5"/>
    <w:rsid w:val="00376A58"/>
    <w:rsid w:val="0038123A"/>
    <w:rsid w:val="003A641C"/>
    <w:rsid w:val="003B13F4"/>
    <w:rsid w:val="003D4DBC"/>
    <w:rsid w:val="00411A3D"/>
    <w:rsid w:val="004439BD"/>
    <w:rsid w:val="004502A1"/>
    <w:rsid w:val="00452B15"/>
    <w:rsid w:val="004563B4"/>
    <w:rsid w:val="00462EA4"/>
    <w:rsid w:val="00481CE3"/>
    <w:rsid w:val="00482E0B"/>
    <w:rsid w:val="00496C0F"/>
    <w:rsid w:val="00496CD4"/>
    <w:rsid w:val="004B4981"/>
    <w:rsid w:val="004C10AE"/>
    <w:rsid w:val="004C1925"/>
    <w:rsid w:val="004E69B5"/>
    <w:rsid w:val="004F131E"/>
    <w:rsid w:val="004F3D98"/>
    <w:rsid w:val="004F5B70"/>
    <w:rsid w:val="004F74DA"/>
    <w:rsid w:val="005014D9"/>
    <w:rsid w:val="00503E7E"/>
    <w:rsid w:val="005115E8"/>
    <w:rsid w:val="00512E77"/>
    <w:rsid w:val="0053763A"/>
    <w:rsid w:val="0055372C"/>
    <w:rsid w:val="005638F1"/>
    <w:rsid w:val="005654E8"/>
    <w:rsid w:val="00576D35"/>
    <w:rsid w:val="00577AA3"/>
    <w:rsid w:val="0058377A"/>
    <w:rsid w:val="00586AC8"/>
    <w:rsid w:val="005A60DB"/>
    <w:rsid w:val="005B369E"/>
    <w:rsid w:val="005C36A6"/>
    <w:rsid w:val="005C54B5"/>
    <w:rsid w:val="005C72CC"/>
    <w:rsid w:val="005E5305"/>
    <w:rsid w:val="006046FF"/>
    <w:rsid w:val="00622565"/>
    <w:rsid w:val="0063036E"/>
    <w:rsid w:val="00632F54"/>
    <w:rsid w:val="00633AF4"/>
    <w:rsid w:val="00635C80"/>
    <w:rsid w:val="006515F5"/>
    <w:rsid w:val="006610FF"/>
    <w:rsid w:val="00665B9F"/>
    <w:rsid w:val="00680C6F"/>
    <w:rsid w:val="00685229"/>
    <w:rsid w:val="00686363"/>
    <w:rsid w:val="006875BB"/>
    <w:rsid w:val="0069624A"/>
    <w:rsid w:val="006A2843"/>
    <w:rsid w:val="006A6360"/>
    <w:rsid w:val="006C1037"/>
    <w:rsid w:val="006D2273"/>
    <w:rsid w:val="006D5CDC"/>
    <w:rsid w:val="006F7929"/>
    <w:rsid w:val="0073089A"/>
    <w:rsid w:val="00731AE2"/>
    <w:rsid w:val="00742F5A"/>
    <w:rsid w:val="00752EAD"/>
    <w:rsid w:val="0076392F"/>
    <w:rsid w:val="007903B1"/>
    <w:rsid w:val="0079069F"/>
    <w:rsid w:val="007A6A50"/>
    <w:rsid w:val="007D1FEC"/>
    <w:rsid w:val="007D26DC"/>
    <w:rsid w:val="007D5985"/>
    <w:rsid w:val="007E76A2"/>
    <w:rsid w:val="00810221"/>
    <w:rsid w:val="00810457"/>
    <w:rsid w:val="00815AAF"/>
    <w:rsid w:val="008266EE"/>
    <w:rsid w:val="00826FDC"/>
    <w:rsid w:val="00832B4A"/>
    <w:rsid w:val="008459DC"/>
    <w:rsid w:val="008545F3"/>
    <w:rsid w:val="0086024E"/>
    <w:rsid w:val="00860B3E"/>
    <w:rsid w:val="00875C35"/>
    <w:rsid w:val="00886A94"/>
    <w:rsid w:val="0089332C"/>
    <w:rsid w:val="008A2D11"/>
    <w:rsid w:val="008A593B"/>
    <w:rsid w:val="008D2D94"/>
    <w:rsid w:val="008D37D2"/>
    <w:rsid w:val="008E6747"/>
    <w:rsid w:val="0092592D"/>
    <w:rsid w:val="00936F16"/>
    <w:rsid w:val="00937B2B"/>
    <w:rsid w:val="00941A30"/>
    <w:rsid w:val="00947539"/>
    <w:rsid w:val="0096313F"/>
    <w:rsid w:val="00966ABA"/>
    <w:rsid w:val="00975520"/>
    <w:rsid w:val="009972DF"/>
    <w:rsid w:val="009B7419"/>
    <w:rsid w:val="009C0369"/>
    <w:rsid w:val="009E391E"/>
    <w:rsid w:val="009E4EC4"/>
    <w:rsid w:val="009F3C0E"/>
    <w:rsid w:val="00A26146"/>
    <w:rsid w:val="00A32EBC"/>
    <w:rsid w:val="00A53F9C"/>
    <w:rsid w:val="00A541B9"/>
    <w:rsid w:val="00A56436"/>
    <w:rsid w:val="00A71462"/>
    <w:rsid w:val="00A7771C"/>
    <w:rsid w:val="00A80C2F"/>
    <w:rsid w:val="00AA618D"/>
    <w:rsid w:val="00AA6E5F"/>
    <w:rsid w:val="00AB3779"/>
    <w:rsid w:val="00AB6DED"/>
    <w:rsid w:val="00AB7D32"/>
    <w:rsid w:val="00AC144C"/>
    <w:rsid w:val="00AC5820"/>
    <w:rsid w:val="00AD606C"/>
    <w:rsid w:val="00AE2693"/>
    <w:rsid w:val="00AE3905"/>
    <w:rsid w:val="00AE3E57"/>
    <w:rsid w:val="00AE507F"/>
    <w:rsid w:val="00AE6BD7"/>
    <w:rsid w:val="00AF112C"/>
    <w:rsid w:val="00AF4E7F"/>
    <w:rsid w:val="00B02277"/>
    <w:rsid w:val="00B23196"/>
    <w:rsid w:val="00B40CCC"/>
    <w:rsid w:val="00B50A03"/>
    <w:rsid w:val="00B51C5D"/>
    <w:rsid w:val="00B525C2"/>
    <w:rsid w:val="00B52648"/>
    <w:rsid w:val="00B6508B"/>
    <w:rsid w:val="00B70B52"/>
    <w:rsid w:val="00B71D00"/>
    <w:rsid w:val="00BB3989"/>
    <w:rsid w:val="00BC21E9"/>
    <w:rsid w:val="00BC6211"/>
    <w:rsid w:val="00C140C2"/>
    <w:rsid w:val="00C17AE1"/>
    <w:rsid w:val="00C30FA2"/>
    <w:rsid w:val="00C348AF"/>
    <w:rsid w:val="00C34A60"/>
    <w:rsid w:val="00C34F4D"/>
    <w:rsid w:val="00C777B3"/>
    <w:rsid w:val="00C82173"/>
    <w:rsid w:val="00C837F2"/>
    <w:rsid w:val="00C85938"/>
    <w:rsid w:val="00C973B7"/>
    <w:rsid w:val="00CB5B48"/>
    <w:rsid w:val="00CB7CEE"/>
    <w:rsid w:val="00CE5298"/>
    <w:rsid w:val="00CF5A26"/>
    <w:rsid w:val="00D05E52"/>
    <w:rsid w:val="00D2026C"/>
    <w:rsid w:val="00D249CA"/>
    <w:rsid w:val="00D24F1A"/>
    <w:rsid w:val="00D51B7A"/>
    <w:rsid w:val="00D5471F"/>
    <w:rsid w:val="00D63564"/>
    <w:rsid w:val="00D72E45"/>
    <w:rsid w:val="00D760F0"/>
    <w:rsid w:val="00DB04F9"/>
    <w:rsid w:val="00DB064A"/>
    <w:rsid w:val="00DB76EC"/>
    <w:rsid w:val="00DD1627"/>
    <w:rsid w:val="00DD35A4"/>
    <w:rsid w:val="00DD6496"/>
    <w:rsid w:val="00DD7FA7"/>
    <w:rsid w:val="00E020B6"/>
    <w:rsid w:val="00E203E3"/>
    <w:rsid w:val="00E20794"/>
    <w:rsid w:val="00E25F01"/>
    <w:rsid w:val="00E27E63"/>
    <w:rsid w:val="00E30105"/>
    <w:rsid w:val="00E43F8B"/>
    <w:rsid w:val="00E561E7"/>
    <w:rsid w:val="00E666BB"/>
    <w:rsid w:val="00E670FD"/>
    <w:rsid w:val="00E73B61"/>
    <w:rsid w:val="00E753AA"/>
    <w:rsid w:val="00E817B2"/>
    <w:rsid w:val="00E850F8"/>
    <w:rsid w:val="00E93F07"/>
    <w:rsid w:val="00EC7585"/>
    <w:rsid w:val="00ED6C91"/>
    <w:rsid w:val="00EF63A6"/>
    <w:rsid w:val="00F04053"/>
    <w:rsid w:val="00F05E53"/>
    <w:rsid w:val="00F11E01"/>
    <w:rsid w:val="00F141C9"/>
    <w:rsid w:val="00F15362"/>
    <w:rsid w:val="00F43E6B"/>
    <w:rsid w:val="00F47ECA"/>
    <w:rsid w:val="00F5066C"/>
    <w:rsid w:val="00F53D3C"/>
    <w:rsid w:val="00F65D04"/>
    <w:rsid w:val="00F826ED"/>
    <w:rsid w:val="00F875BD"/>
    <w:rsid w:val="00FB1226"/>
    <w:rsid w:val="00FB3938"/>
    <w:rsid w:val="00FC70CA"/>
    <w:rsid w:val="00FE0459"/>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CD6327A-6E25-464E-AD59-6AF9E115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5115E8"/>
    <w:pPr>
      <w:keepNext/>
      <w:suppressAutoHyphens/>
      <w:spacing w:before="360" w:after="120" w:line="440" w:lineRule="exact"/>
      <w:outlineLvl w:val="0"/>
    </w:pPr>
    <w:rPr>
      <w:rFonts w:eastAsiaTheme="majorEastAsia"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E666BB"/>
    <w:pPr>
      <w:keepNext/>
      <w:suppressAutoHyphens/>
      <w:spacing w:before="240" w:after="60" w:line="300" w:lineRule="exact"/>
      <w:outlineLvl w:val="1"/>
    </w:pPr>
    <w:rPr>
      <w:b/>
      <w:color w:val="AB4399"/>
      <w:sz w:val="38"/>
      <w:szCs w:val="36"/>
    </w:rPr>
  </w:style>
  <w:style w:type="paragraph" w:styleId="Heading3">
    <w:name w:val="heading 3"/>
    <w:basedOn w:val="Normal"/>
    <w:next w:val="Normal"/>
    <w:link w:val="Heading3Char"/>
    <w:uiPriority w:val="9"/>
    <w:unhideWhenUsed/>
    <w:qFormat/>
    <w:rsid w:val="005115E8"/>
    <w:pPr>
      <w:keepNext/>
      <w:suppressAutoHyphens/>
      <w:spacing w:before="200" w:after="60" w:line="240" w:lineRule="exact"/>
      <w:outlineLvl w:val="2"/>
    </w:pPr>
    <w:rPr>
      <w:b/>
      <w:sz w:val="32"/>
      <w:szCs w:val="28"/>
    </w:rPr>
  </w:style>
  <w:style w:type="paragraph" w:styleId="Heading4">
    <w:name w:val="heading 4"/>
    <w:basedOn w:val="Normal"/>
    <w:link w:val="Heading4Char"/>
    <w:uiPriority w:val="9"/>
    <w:unhideWhenUsed/>
    <w:qFormat/>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iPriority w:val="9"/>
    <w:unhideWhenUsed/>
    <w:qFormat/>
    <w:rsid w:val="00731AE2"/>
    <w:pPr>
      <w:keepNext/>
      <w:keepLines/>
      <w:spacing w:before="40" w:after="0"/>
      <w:outlineLvl w:val="4"/>
    </w:pPr>
    <w:rPr>
      <w:rFonts w:asciiTheme="majorHAnsi" w:eastAsiaTheme="majorEastAsia" w:hAnsiTheme="majorHAnsi" w:cstheme="majorBidi"/>
      <w:color w:val="2525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5E8"/>
    <w:rPr>
      <w:rFonts w:eastAsiaTheme="majorEastAsia"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E666BB"/>
    <w:rPr>
      <w:rFonts w:cs="Times New Roman"/>
      <w:b/>
      <w:color w:val="AB4399"/>
      <w:sz w:val="38"/>
      <w:szCs w:val="36"/>
      <w:lang w:eastAsia="en-AU"/>
    </w:rPr>
  </w:style>
  <w:style w:type="character" w:customStyle="1" w:styleId="Heading3Char">
    <w:name w:val="Heading 3 Char"/>
    <w:basedOn w:val="DefaultParagraphFont"/>
    <w:link w:val="Heading3"/>
    <w:uiPriority w:val="9"/>
    <w:rsid w:val="005115E8"/>
    <w:rPr>
      <w:rFonts w:cs="Times New Roman"/>
      <w:b/>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5115E8"/>
    <w:pPr>
      <w:keepNext/>
      <w:tabs>
        <w:tab w:val="right" w:leader="dot" w:pos="9060"/>
      </w:tabs>
      <w:spacing w:before="360" w:after="120" w:line="440" w:lineRule="exact"/>
    </w:pPr>
    <w:rPr>
      <w:b/>
      <w:caps/>
      <w:noProof/>
      <w:color w:val="482D8C" w:themeColor="background2"/>
      <w:sz w:val="32"/>
      <w:szCs w:val="40"/>
    </w:rPr>
  </w:style>
  <w:style w:type="paragraph" w:styleId="TOC2">
    <w:name w:val="toc 2"/>
    <w:basedOn w:val="Normal"/>
    <w:autoRedefine/>
    <w:uiPriority w:val="39"/>
    <w:unhideWhenUsed/>
    <w:rsid w:val="00731AE2"/>
    <w:pPr>
      <w:keepNext/>
      <w:tabs>
        <w:tab w:val="right" w:leader="dot" w:pos="906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5115E8"/>
    <w:pPr>
      <w:keepNext/>
      <w:spacing w:before="200" w:after="120" w:line="240" w:lineRule="exact"/>
      <w:ind w:left="420"/>
    </w:pPr>
    <w:rPr>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0446A5"/>
    <w:rPr>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3"/>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348871">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accesscanberra.act.gov.au/app/answers/detail/a_id/4430"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s://www.accesscanberra.act.gov.au/app/answers/detail/a_id/4430" TargetMode="External"/><Relationship Id="rId2" Type="http://schemas.openxmlformats.org/officeDocument/2006/relationships/customXml" Target="../customXml/item2.xml"/><Relationship Id="rId16" Type="http://schemas.openxmlformats.org/officeDocument/2006/relationships/hyperlink" Target="https://www.accesscanberra.act.gov.au/app/as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ontrolledsports@act.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20connor\Downloads\Publication-template-purple%20(1).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DAFE5-D8DC-434B-9047-DC88348C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68B9F4-ACED-42E7-9C6F-59C95F7D1CC4}">
  <ds:schemaRefs>
    <ds:schemaRef ds:uri="http://purl.org/dc/terms/"/>
    <ds:schemaRef ds:uri="http://schemas.openxmlformats.org/package/2006/metadata/core-propertie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56B4A920-7F81-46E1-953D-E350C4A79E86}">
  <ds:schemaRefs>
    <ds:schemaRef ds:uri="http://schemas.microsoft.com/sharepoint/v3/contenttype/forms"/>
  </ds:schemaRefs>
</ds:datastoreItem>
</file>

<file path=customXml/itemProps4.xml><?xml version="1.0" encoding="utf-8"?>
<ds:datastoreItem xmlns:ds="http://schemas.openxmlformats.org/officeDocument/2006/customXml" ds:itemID="{8B490D41-451D-48A2-A606-0690698B6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Publication-template-purple (1)</Template>
  <TotalTime>1</TotalTime>
  <Pages>6</Pages>
  <Words>1039</Words>
  <Characters>5928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ACT Government Publication template purple</vt:lpstr>
    </vt:vector>
  </TitlesOfParts>
  <Company>ACT Government</Company>
  <LinksUpToDate>false</LinksUpToDate>
  <CharactersWithSpaces>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Publication template purple</dc:title>
  <dc:subject>Publication template purple</dc:subject>
  <dc:creator>Connor, Tina</dc:creator>
  <cp:lastModifiedBy>Connor, Tina</cp:lastModifiedBy>
  <cp:revision>2</cp:revision>
  <cp:lastPrinted>2016-09-21T00:45:00Z</cp:lastPrinted>
  <dcterms:created xsi:type="dcterms:W3CDTF">2019-05-31T02:05:00Z</dcterms:created>
  <dcterms:modified xsi:type="dcterms:W3CDTF">2019-05-31T02:05:00Z</dcterms:modified>
</cp:coreProperties>
</file>