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7F574" w14:textId="00D7EF14" w:rsidR="00FA56EB" w:rsidRDefault="00FA56EB" w:rsidP="00FA56EB">
      <w:pPr>
        <w:rPr>
          <w:b/>
          <w:sz w:val="32"/>
        </w:rPr>
      </w:pPr>
      <w:r>
        <w:rPr>
          <w:b/>
          <w:sz w:val="32"/>
        </w:rPr>
        <w:t>Introduction</w:t>
      </w:r>
    </w:p>
    <w:p w14:paraId="0FCF318C" w14:textId="7888BF3B" w:rsidR="00FA56EB" w:rsidRDefault="00FA56EB" w:rsidP="00FA56EB">
      <w:pPr>
        <w:rPr>
          <w:sz w:val="24"/>
        </w:rPr>
      </w:pPr>
      <w:r>
        <w:rPr>
          <w:sz w:val="24"/>
        </w:rPr>
        <w:t>This document sets out the roles and responsibilities of the Controlled Sports Advisory Committee (C</w:t>
      </w:r>
      <w:r w:rsidR="00223B79">
        <w:rPr>
          <w:sz w:val="24"/>
        </w:rPr>
        <w:t>ommittee</w:t>
      </w:r>
      <w:r>
        <w:rPr>
          <w:sz w:val="24"/>
        </w:rPr>
        <w:t>)</w:t>
      </w:r>
      <w:r w:rsidR="009F3766">
        <w:rPr>
          <w:sz w:val="24"/>
        </w:rPr>
        <w:t xml:space="preserve">, established under Section 86 of the </w:t>
      </w:r>
      <w:r w:rsidR="009F3766">
        <w:rPr>
          <w:i/>
          <w:sz w:val="24"/>
        </w:rPr>
        <w:t>Controlled Sports Act 2019</w:t>
      </w:r>
      <w:r>
        <w:rPr>
          <w:sz w:val="24"/>
        </w:rPr>
        <w:t xml:space="preserve">. It provides guidance on the </w:t>
      </w:r>
      <w:r w:rsidR="00C56F65">
        <w:rPr>
          <w:sz w:val="24"/>
        </w:rPr>
        <w:t>C</w:t>
      </w:r>
      <w:r>
        <w:rPr>
          <w:sz w:val="24"/>
        </w:rPr>
        <w:t>ommittee’</w:t>
      </w:r>
      <w:r w:rsidR="001B46AA">
        <w:rPr>
          <w:sz w:val="24"/>
        </w:rPr>
        <w:t>s purpose, composition, tenure and</w:t>
      </w:r>
      <w:r>
        <w:rPr>
          <w:sz w:val="24"/>
        </w:rPr>
        <w:t xml:space="preserve"> eligibility and reporting obligations</w:t>
      </w:r>
      <w:r w:rsidR="009F3766">
        <w:rPr>
          <w:sz w:val="24"/>
        </w:rPr>
        <w:t xml:space="preserve">. </w:t>
      </w:r>
    </w:p>
    <w:p w14:paraId="3818A41C" w14:textId="39CAA05C" w:rsidR="00052837" w:rsidRDefault="00322A05" w:rsidP="00FA56EB">
      <w:pPr>
        <w:rPr>
          <w:b/>
          <w:sz w:val="32"/>
        </w:rPr>
      </w:pPr>
      <w:r>
        <w:rPr>
          <w:sz w:val="24"/>
        </w:rPr>
        <w:t>The Committee is formed under the</w:t>
      </w:r>
      <w:r w:rsidR="00052837">
        <w:rPr>
          <w:sz w:val="24"/>
        </w:rPr>
        <w:t xml:space="preserve"> </w:t>
      </w:r>
      <w:hyperlink r:id="rId7" w:history="1">
        <w:r w:rsidR="00052837" w:rsidRPr="00052837">
          <w:rPr>
            <w:rStyle w:val="Hyperlink"/>
            <w:sz w:val="24"/>
          </w:rPr>
          <w:t>Governance Principles – Appointments Boards and Committees (March 2017)</w:t>
        </w:r>
      </w:hyperlink>
      <w:r w:rsidR="00052837">
        <w:rPr>
          <w:sz w:val="24"/>
        </w:rPr>
        <w:t xml:space="preserve">. </w:t>
      </w:r>
    </w:p>
    <w:p w14:paraId="1AAC8514" w14:textId="42CAB540" w:rsidR="00FA56EB" w:rsidRDefault="00BE7A41" w:rsidP="00FA56EB">
      <w:pPr>
        <w:rPr>
          <w:b/>
          <w:sz w:val="32"/>
        </w:rPr>
      </w:pPr>
      <w:r>
        <w:rPr>
          <w:b/>
          <w:sz w:val="32"/>
        </w:rPr>
        <w:t>Role of the Co</w:t>
      </w:r>
      <w:r w:rsidR="00DC27F9">
        <w:rPr>
          <w:b/>
          <w:sz w:val="32"/>
        </w:rPr>
        <w:t>ntrolled</w:t>
      </w:r>
      <w:r>
        <w:rPr>
          <w:b/>
          <w:sz w:val="32"/>
        </w:rPr>
        <w:t xml:space="preserve"> Sports Advisory Committee</w:t>
      </w:r>
    </w:p>
    <w:p w14:paraId="3569CB5D" w14:textId="63C39ECE" w:rsidR="008D5A2C" w:rsidRDefault="00FA56EB" w:rsidP="00FA56EB">
      <w:pPr>
        <w:rPr>
          <w:sz w:val="24"/>
        </w:rPr>
      </w:pPr>
      <w:r>
        <w:rPr>
          <w:sz w:val="24"/>
        </w:rPr>
        <w:t>The C</w:t>
      </w:r>
      <w:r w:rsidR="00223B79">
        <w:rPr>
          <w:sz w:val="24"/>
        </w:rPr>
        <w:t>ommittee</w:t>
      </w:r>
      <w:r>
        <w:rPr>
          <w:sz w:val="24"/>
        </w:rPr>
        <w:t xml:space="preserve"> has been established to provide advice to the Minister</w:t>
      </w:r>
      <w:r w:rsidR="003B320B">
        <w:rPr>
          <w:sz w:val="24"/>
        </w:rPr>
        <w:t xml:space="preserve"> </w:t>
      </w:r>
      <w:r>
        <w:rPr>
          <w:sz w:val="24"/>
        </w:rPr>
        <w:t xml:space="preserve">specifically on matters relating to the </w:t>
      </w:r>
      <w:r>
        <w:rPr>
          <w:i/>
          <w:sz w:val="24"/>
        </w:rPr>
        <w:t>Controlled</w:t>
      </w:r>
      <w:r w:rsidR="009F3766">
        <w:rPr>
          <w:i/>
          <w:sz w:val="24"/>
        </w:rPr>
        <w:t> </w:t>
      </w:r>
      <w:r>
        <w:rPr>
          <w:i/>
          <w:sz w:val="24"/>
        </w:rPr>
        <w:t>Sports Act 2019</w:t>
      </w:r>
      <w:r>
        <w:rPr>
          <w:sz w:val="24"/>
        </w:rPr>
        <w:t xml:space="preserve"> and participation in controlled sports</w:t>
      </w:r>
      <w:r w:rsidR="009F3766">
        <w:rPr>
          <w:sz w:val="24"/>
        </w:rPr>
        <w:t xml:space="preserve"> events</w:t>
      </w:r>
      <w:r>
        <w:rPr>
          <w:sz w:val="24"/>
        </w:rPr>
        <w:t xml:space="preserve"> within the ACT. </w:t>
      </w:r>
    </w:p>
    <w:p w14:paraId="6D632528" w14:textId="1778A5CA" w:rsidR="008D5A2C" w:rsidRPr="008D5A2C" w:rsidRDefault="008D5A2C" w:rsidP="00FA56EB">
      <w:pPr>
        <w:rPr>
          <w:b/>
          <w:sz w:val="32"/>
        </w:rPr>
      </w:pPr>
      <w:r>
        <w:rPr>
          <w:b/>
          <w:sz w:val="32"/>
        </w:rPr>
        <w:t>Responsibilities of the Co</w:t>
      </w:r>
      <w:r w:rsidR="00A169EE">
        <w:rPr>
          <w:b/>
          <w:sz w:val="32"/>
        </w:rPr>
        <w:t>ntrolled</w:t>
      </w:r>
      <w:r>
        <w:rPr>
          <w:b/>
          <w:sz w:val="32"/>
        </w:rPr>
        <w:t xml:space="preserve"> Sports Advisory Committee</w:t>
      </w:r>
    </w:p>
    <w:p w14:paraId="513BA72F" w14:textId="62B0269E" w:rsidR="00FA56EB" w:rsidRDefault="00FA56EB" w:rsidP="00FA56EB">
      <w:pPr>
        <w:rPr>
          <w:sz w:val="24"/>
        </w:rPr>
      </w:pPr>
      <w:r>
        <w:rPr>
          <w:sz w:val="24"/>
        </w:rPr>
        <w:t>The functions of the C</w:t>
      </w:r>
      <w:r w:rsidR="00223B79">
        <w:rPr>
          <w:sz w:val="24"/>
        </w:rPr>
        <w:t>ommittee</w:t>
      </w:r>
      <w:r>
        <w:rPr>
          <w:sz w:val="24"/>
        </w:rPr>
        <w:t xml:space="preserve"> are</w:t>
      </w:r>
      <w:r w:rsidR="001B56E6">
        <w:rPr>
          <w:sz w:val="24"/>
        </w:rPr>
        <w:t xml:space="preserve"> to</w:t>
      </w:r>
      <w:r>
        <w:rPr>
          <w:sz w:val="24"/>
        </w:rPr>
        <w:t xml:space="preserve">: </w:t>
      </w:r>
    </w:p>
    <w:p w14:paraId="78898EA3" w14:textId="77777777" w:rsidR="00FA56EB" w:rsidRDefault="00FA56EB" w:rsidP="00FA56EB">
      <w:pPr>
        <w:pStyle w:val="ListParagraph"/>
        <w:numPr>
          <w:ilvl w:val="0"/>
          <w:numId w:val="4"/>
        </w:numPr>
        <w:rPr>
          <w:sz w:val="24"/>
        </w:rPr>
      </w:pPr>
      <w:bookmarkStart w:id="0" w:name="_Hlk14772982"/>
      <w:r>
        <w:rPr>
          <w:sz w:val="24"/>
        </w:rPr>
        <w:t xml:space="preserve">Advise on the rules of various combat sports; </w:t>
      </w:r>
    </w:p>
    <w:p w14:paraId="1DC5327A" w14:textId="312E220D" w:rsidR="005F0720" w:rsidRDefault="005F0720" w:rsidP="00FA56EB">
      <w:pPr>
        <w:pStyle w:val="ListParagraph"/>
        <w:numPr>
          <w:ilvl w:val="0"/>
          <w:numId w:val="4"/>
        </w:numPr>
        <w:rPr>
          <w:sz w:val="24"/>
        </w:rPr>
      </w:pPr>
      <w:r>
        <w:rPr>
          <w:sz w:val="24"/>
        </w:rPr>
        <w:t xml:space="preserve">Provide advice on the coverage of the Act for particular combat sports; </w:t>
      </w:r>
    </w:p>
    <w:p w14:paraId="5031F7E1" w14:textId="3EF23D64" w:rsidR="00FA56EB" w:rsidRDefault="00FA56EB" w:rsidP="00FA56EB">
      <w:pPr>
        <w:pStyle w:val="ListParagraph"/>
        <w:numPr>
          <w:ilvl w:val="0"/>
          <w:numId w:val="4"/>
        </w:numPr>
        <w:rPr>
          <w:sz w:val="24"/>
        </w:rPr>
      </w:pPr>
      <w:r>
        <w:rPr>
          <w:sz w:val="24"/>
        </w:rPr>
        <w:t xml:space="preserve">Provide advice on </w:t>
      </w:r>
      <w:r w:rsidR="003B320B">
        <w:rPr>
          <w:sz w:val="24"/>
        </w:rPr>
        <w:t xml:space="preserve">expanding </w:t>
      </w:r>
      <w:r w:rsidR="00D94D64">
        <w:rPr>
          <w:sz w:val="24"/>
        </w:rPr>
        <w:t xml:space="preserve">coverage of </w:t>
      </w:r>
      <w:r w:rsidR="003B320B">
        <w:rPr>
          <w:sz w:val="24"/>
        </w:rPr>
        <w:t xml:space="preserve">the Act to </w:t>
      </w:r>
      <w:r w:rsidR="005F0720">
        <w:rPr>
          <w:sz w:val="24"/>
        </w:rPr>
        <w:t xml:space="preserve">add </w:t>
      </w:r>
      <w:r w:rsidR="003B320B">
        <w:rPr>
          <w:sz w:val="24"/>
        </w:rPr>
        <w:t xml:space="preserve">additional </w:t>
      </w:r>
      <w:r w:rsidR="00A97358">
        <w:rPr>
          <w:sz w:val="24"/>
        </w:rPr>
        <w:t>high risk sports or activities</w:t>
      </w:r>
      <w:r>
        <w:rPr>
          <w:sz w:val="24"/>
        </w:rPr>
        <w:t xml:space="preserve">; </w:t>
      </w:r>
    </w:p>
    <w:p w14:paraId="2A99D419" w14:textId="484A9F3B" w:rsidR="00141E57" w:rsidRDefault="00141E57" w:rsidP="00FA56EB">
      <w:pPr>
        <w:pStyle w:val="ListParagraph"/>
        <w:numPr>
          <w:ilvl w:val="0"/>
          <w:numId w:val="4"/>
        </w:numPr>
        <w:rPr>
          <w:sz w:val="24"/>
        </w:rPr>
      </w:pPr>
      <w:r>
        <w:rPr>
          <w:sz w:val="24"/>
        </w:rPr>
        <w:t xml:space="preserve">Provide advice on considerations relating to light contact combat sports identified for potential exemption; </w:t>
      </w:r>
    </w:p>
    <w:p w14:paraId="27FF4589" w14:textId="71CB87C0" w:rsidR="00FA56EB" w:rsidRDefault="00FA56EB" w:rsidP="00FA56EB">
      <w:pPr>
        <w:pStyle w:val="ListParagraph"/>
        <w:numPr>
          <w:ilvl w:val="0"/>
          <w:numId w:val="4"/>
        </w:numPr>
        <w:rPr>
          <w:sz w:val="24"/>
        </w:rPr>
      </w:pPr>
      <w:r>
        <w:rPr>
          <w:sz w:val="24"/>
        </w:rPr>
        <w:t>Provide advice on protective clothing</w:t>
      </w:r>
      <w:r w:rsidR="00141E57">
        <w:rPr>
          <w:sz w:val="24"/>
        </w:rPr>
        <w:t>, equipment used,</w:t>
      </w:r>
      <w:r>
        <w:rPr>
          <w:sz w:val="24"/>
        </w:rPr>
        <w:t xml:space="preserve"> and measures for combat sports disciplines;</w:t>
      </w:r>
    </w:p>
    <w:p w14:paraId="071B6799" w14:textId="77777777" w:rsidR="00FA56EB" w:rsidRDefault="00FA56EB" w:rsidP="00FA56EB">
      <w:pPr>
        <w:pStyle w:val="ListParagraph"/>
        <w:numPr>
          <w:ilvl w:val="0"/>
          <w:numId w:val="4"/>
        </w:numPr>
        <w:rPr>
          <w:sz w:val="24"/>
        </w:rPr>
      </w:pPr>
      <w:r>
        <w:rPr>
          <w:sz w:val="24"/>
        </w:rPr>
        <w:t>Identify and discuss key risks in new and emerging combat sports disciplines;</w:t>
      </w:r>
    </w:p>
    <w:p w14:paraId="41620F5B" w14:textId="77777777" w:rsidR="00FA56EB" w:rsidRDefault="00FA56EB" w:rsidP="00FA56EB">
      <w:pPr>
        <w:pStyle w:val="ListParagraph"/>
        <w:numPr>
          <w:ilvl w:val="0"/>
          <w:numId w:val="4"/>
        </w:numPr>
        <w:rPr>
          <w:sz w:val="24"/>
        </w:rPr>
      </w:pPr>
      <w:r>
        <w:rPr>
          <w:sz w:val="24"/>
        </w:rPr>
        <w:t xml:space="preserve">Provide advice on areas of safety that can be improved; </w:t>
      </w:r>
    </w:p>
    <w:p w14:paraId="2CD06BE5" w14:textId="77DE0C58" w:rsidR="00141E57" w:rsidRPr="00141E57" w:rsidRDefault="00141E57" w:rsidP="00141E57">
      <w:pPr>
        <w:pStyle w:val="ListParagraph"/>
        <w:numPr>
          <w:ilvl w:val="0"/>
          <w:numId w:val="4"/>
        </w:numPr>
        <w:rPr>
          <w:sz w:val="24"/>
        </w:rPr>
      </w:pPr>
      <w:r w:rsidRPr="00141E57">
        <w:rPr>
          <w:sz w:val="24"/>
        </w:rPr>
        <w:t xml:space="preserve">Provide advice relating to complex matters, including but not limited to </w:t>
      </w:r>
      <w:r w:rsidRPr="005F0720">
        <w:rPr>
          <w:sz w:val="24"/>
        </w:rPr>
        <w:t>contestant and official registrations,</w:t>
      </w:r>
      <w:r w:rsidRPr="00141E57">
        <w:rPr>
          <w:sz w:val="24"/>
        </w:rPr>
        <w:t xml:space="preserve"> event applications and applications to become an Authorised Controlled Sports Body. </w:t>
      </w:r>
      <w:r w:rsidRPr="005F0720">
        <w:rPr>
          <w:sz w:val="24"/>
        </w:rPr>
        <w:t>This may also include considerations regarding the potential for suspensions and cancellations.</w:t>
      </w:r>
      <w:r w:rsidRPr="00141E57">
        <w:rPr>
          <w:sz w:val="24"/>
        </w:rPr>
        <w:t xml:space="preserve"> </w:t>
      </w:r>
    </w:p>
    <w:p w14:paraId="69F3E76E" w14:textId="53FE370A" w:rsidR="00FA56EB" w:rsidRDefault="00FA56EB" w:rsidP="00FA56EB">
      <w:pPr>
        <w:pStyle w:val="ListParagraph"/>
        <w:numPr>
          <w:ilvl w:val="0"/>
          <w:numId w:val="4"/>
        </w:numPr>
        <w:rPr>
          <w:sz w:val="24"/>
        </w:rPr>
      </w:pPr>
      <w:r>
        <w:rPr>
          <w:sz w:val="24"/>
        </w:rPr>
        <w:t xml:space="preserve">Provide advice </w:t>
      </w:r>
      <w:r w:rsidR="00372E83">
        <w:rPr>
          <w:sz w:val="24"/>
        </w:rPr>
        <w:t>regarding</w:t>
      </w:r>
      <w:r>
        <w:rPr>
          <w:sz w:val="24"/>
        </w:rPr>
        <w:t xml:space="preserve"> any applications for exemption </w:t>
      </w:r>
      <w:r w:rsidR="003B320B">
        <w:rPr>
          <w:sz w:val="24"/>
        </w:rPr>
        <w:t xml:space="preserve">made to the </w:t>
      </w:r>
      <w:r>
        <w:rPr>
          <w:sz w:val="24"/>
        </w:rPr>
        <w:t>or appeals made regarding controlled sports registrations; and</w:t>
      </w:r>
    </w:p>
    <w:bookmarkEnd w:id="0"/>
    <w:p w14:paraId="0C88AF58" w14:textId="4184B29B" w:rsidR="00141E57" w:rsidRDefault="003B320B" w:rsidP="00FA56EB">
      <w:pPr>
        <w:pStyle w:val="ListParagraph"/>
        <w:numPr>
          <w:ilvl w:val="0"/>
          <w:numId w:val="4"/>
        </w:numPr>
        <w:rPr>
          <w:sz w:val="24"/>
        </w:rPr>
      </w:pPr>
      <w:r>
        <w:rPr>
          <w:sz w:val="24"/>
        </w:rPr>
        <w:t>Provide advice</w:t>
      </w:r>
      <w:r w:rsidR="00FA56EB">
        <w:rPr>
          <w:sz w:val="24"/>
        </w:rPr>
        <w:t xml:space="preserve"> upon any other matter identified by the Minister. </w:t>
      </w:r>
    </w:p>
    <w:p w14:paraId="1AC4C591" w14:textId="77777777" w:rsidR="0056038E" w:rsidRDefault="0056038E" w:rsidP="0056038E">
      <w:pPr>
        <w:pStyle w:val="ListParagraph"/>
        <w:rPr>
          <w:sz w:val="24"/>
        </w:rPr>
      </w:pPr>
    </w:p>
    <w:p w14:paraId="212FB106" w14:textId="77777777" w:rsidR="005F0720" w:rsidRDefault="005F0720" w:rsidP="0056038E">
      <w:pPr>
        <w:pStyle w:val="ListParagraph"/>
        <w:rPr>
          <w:sz w:val="24"/>
        </w:rPr>
      </w:pPr>
    </w:p>
    <w:p w14:paraId="3DA6F245" w14:textId="77777777" w:rsidR="005F0720" w:rsidRDefault="005F0720" w:rsidP="0056038E">
      <w:pPr>
        <w:pStyle w:val="ListParagraph"/>
        <w:rPr>
          <w:sz w:val="24"/>
        </w:rPr>
      </w:pPr>
    </w:p>
    <w:p w14:paraId="48A918A8" w14:textId="77777777" w:rsidR="005F0720" w:rsidRDefault="005F0720" w:rsidP="0056038E">
      <w:pPr>
        <w:pStyle w:val="ListParagraph"/>
        <w:rPr>
          <w:sz w:val="24"/>
        </w:rPr>
      </w:pPr>
    </w:p>
    <w:p w14:paraId="09DC1CAD" w14:textId="77777777" w:rsidR="0056038E" w:rsidRPr="0056038E" w:rsidRDefault="0056038E" w:rsidP="0056038E">
      <w:pPr>
        <w:pStyle w:val="ListParagraph"/>
        <w:rPr>
          <w:sz w:val="24"/>
        </w:rPr>
      </w:pPr>
    </w:p>
    <w:p w14:paraId="266E093E" w14:textId="64A70527" w:rsidR="00FA56EB" w:rsidRDefault="00213292" w:rsidP="00FA56EB">
      <w:pPr>
        <w:rPr>
          <w:b/>
          <w:sz w:val="32"/>
        </w:rPr>
      </w:pPr>
      <w:r>
        <w:rPr>
          <w:b/>
          <w:sz w:val="32"/>
        </w:rPr>
        <w:lastRenderedPageBreak/>
        <w:t>Membership</w:t>
      </w:r>
    </w:p>
    <w:tbl>
      <w:tblPr>
        <w:tblStyle w:val="TableGrid"/>
        <w:tblW w:w="0" w:type="auto"/>
        <w:tblLook w:val="04A0" w:firstRow="1" w:lastRow="0" w:firstColumn="1" w:lastColumn="0" w:noHBand="0" w:noVBand="1"/>
      </w:tblPr>
      <w:tblGrid>
        <w:gridCol w:w="4508"/>
        <w:gridCol w:w="4508"/>
      </w:tblGrid>
      <w:tr w:rsidR="00FA56EB" w14:paraId="1BBDDE7F" w14:textId="77777777" w:rsidTr="00FA56EB">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55880" w14:textId="77777777" w:rsidR="00FA56EB" w:rsidRDefault="00FA56EB">
            <w:pPr>
              <w:tabs>
                <w:tab w:val="left" w:pos="3306"/>
              </w:tabs>
              <w:spacing w:line="240" w:lineRule="auto"/>
              <w:rPr>
                <w:b/>
                <w:sz w:val="24"/>
              </w:rPr>
            </w:pPr>
            <w:r>
              <w:rPr>
                <w:b/>
                <w:sz w:val="24"/>
              </w:rPr>
              <w:t>Specialist Representatives</w:t>
            </w:r>
            <w:r>
              <w:rPr>
                <w:b/>
                <w:sz w:val="24"/>
              </w:rPr>
              <w:tab/>
            </w:r>
          </w:p>
          <w:p w14:paraId="5901238E" w14:textId="77777777" w:rsidR="00FA56EB" w:rsidRDefault="00FA56EB">
            <w:pPr>
              <w:spacing w:line="240" w:lineRule="auto"/>
              <w:rPr>
                <w:b/>
                <w:sz w:val="24"/>
              </w:rPr>
            </w:pPr>
          </w:p>
        </w:tc>
      </w:tr>
      <w:tr w:rsidR="00FA56EB" w14:paraId="3AF3FE27" w14:textId="77777777" w:rsidTr="00FA56EB">
        <w:tc>
          <w:tcPr>
            <w:tcW w:w="4508" w:type="dxa"/>
            <w:tcBorders>
              <w:top w:val="single" w:sz="4" w:space="0" w:color="auto"/>
              <w:left w:val="single" w:sz="4" w:space="0" w:color="auto"/>
              <w:bottom w:val="single" w:sz="4" w:space="0" w:color="auto"/>
              <w:right w:val="single" w:sz="4" w:space="0" w:color="auto"/>
            </w:tcBorders>
            <w:hideMark/>
          </w:tcPr>
          <w:p w14:paraId="5E0D74CB" w14:textId="77777777" w:rsidR="00FA56EB" w:rsidRDefault="00FA56EB">
            <w:pPr>
              <w:spacing w:line="240" w:lineRule="auto"/>
              <w:rPr>
                <w:b/>
                <w:sz w:val="24"/>
              </w:rPr>
            </w:pPr>
            <w:r>
              <w:rPr>
                <w:sz w:val="24"/>
              </w:rPr>
              <w:t xml:space="preserve">ACT Policing </w:t>
            </w:r>
          </w:p>
        </w:tc>
        <w:tc>
          <w:tcPr>
            <w:tcW w:w="4508" w:type="dxa"/>
            <w:tcBorders>
              <w:top w:val="single" w:sz="4" w:space="0" w:color="auto"/>
              <w:left w:val="single" w:sz="4" w:space="0" w:color="auto"/>
              <w:bottom w:val="single" w:sz="4" w:space="0" w:color="auto"/>
              <w:right w:val="single" w:sz="4" w:space="0" w:color="auto"/>
            </w:tcBorders>
            <w:hideMark/>
          </w:tcPr>
          <w:p w14:paraId="45467499" w14:textId="77777777" w:rsidR="00FA56EB" w:rsidRDefault="00FA56EB">
            <w:pPr>
              <w:spacing w:line="240" w:lineRule="auto"/>
              <w:rPr>
                <w:b/>
                <w:sz w:val="24"/>
              </w:rPr>
            </w:pPr>
            <w:r>
              <w:rPr>
                <w:sz w:val="24"/>
              </w:rPr>
              <w:t xml:space="preserve">Police expertise for specific and relevant matters only. </w:t>
            </w:r>
          </w:p>
        </w:tc>
      </w:tr>
      <w:tr w:rsidR="00FA56EB" w14:paraId="5F678766" w14:textId="77777777" w:rsidTr="00FA56EB">
        <w:tc>
          <w:tcPr>
            <w:tcW w:w="4508" w:type="dxa"/>
            <w:tcBorders>
              <w:top w:val="single" w:sz="4" w:space="0" w:color="auto"/>
              <w:left w:val="single" w:sz="4" w:space="0" w:color="auto"/>
              <w:bottom w:val="single" w:sz="4" w:space="0" w:color="auto"/>
              <w:right w:val="single" w:sz="4" w:space="0" w:color="auto"/>
            </w:tcBorders>
            <w:hideMark/>
          </w:tcPr>
          <w:p w14:paraId="3D69FF93" w14:textId="77777777" w:rsidR="00FA56EB" w:rsidRDefault="00FA56EB">
            <w:pPr>
              <w:spacing w:line="240" w:lineRule="auto"/>
              <w:rPr>
                <w:b/>
                <w:sz w:val="24"/>
              </w:rPr>
            </w:pPr>
            <w:r>
              <w:rPr>
                <w:sz w:val="24"/>
              </w:rPr>
              <w:t>Medical Professional</w:t>
            </w:r>
          </w:p>
        </w:tc>
        <w:tc>
          <w:tcPr>
            <w:tcW w:w="4508" w:type="dxa"/>
            <w:tcBorders>
              <w:top w:val="single" w:sz="4" w:space="0" w:color="auto"/>
              <w:left w:val="single" w:sz="4" w:space="0" w:color="auto"/>
              <w:bottom w:val="single" w:sz="4" w:space="0" w:color="auto"/>
              <w:right w:val="single" w:sz="4" w:space="0" w:color="auto"/>
            </w:tcBorders>
            <w:hideMark/>
          </w:tcPr>
          <w:p w14:paraId="267E8957" w14:textId="77777777" w:rsidR="00FA56EB" w:rsidRDefault="00FA56EB">
            <w:pPr>
              <w:spacing w:line="240" w:lineRule="auto"/>
              <w:rPr>
                <w:b/>
                <w:sz w:val="24"/>
              </w:rPr>
            </w:pPr>
            <w:r>
              <w:rPr>
                <w:sz w:val="24"/>
              </w:rPr>
              <w:t>Medical expertise for specific and relevant matters only.</w:t>
            </w:r>
          </w:p>
        </w:tc>
      </w:tr>
      <w:tr w:rsidR="00FA56EB" w14:paraId="2E4C6C68" w14:textId="77777777" w:rsidTr="00FA56EB">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2481F" w14:textId="77777777" w:rsidR="00FA56EB" w:rsidRDefault="00FA56EB">
            <w:pPr>
              <w:spacing w:line="240" w:lineRule="auto"/>
              <w:rPr>
                <w:b/>
                <w:sz w:val="24"/>
              </w:rPr>
            </w:pPr>
            <w:r>
              <w:rPr>
                <w:b/>
                <w:sz w:val="24"/>
              </w:rPr>
              <w:t>Industry Representatives</w:t>
            </w:r>
          </w:p>
          <w:p w14:paraId="35558E9A" w14:textId="77777777" w:rsidR="00FA56EB" w:rsidRDefault="00FA56EB">
            <w:pPr>
              <w:spacing w:line="240" w:lineRule="auto"/>
              <w:rPr>
                <w:b/>
                <w:sz w:val="24"/>
              </w:rPr>
            </w:pPr>
          </w:p>
        </w:tc>
      </w:tr>
      <w:tr w:rsidR="00FA56EB" w14:paraId="576B49AB" w14:textId="77777777" w:rsidTr="00FA56EB">
        <w:tc>
          <w:tcPr>
            <w:tcW w:w="4508" w:type="dxa"/>
            <w:tcBorders>
              <w:top w:val="single" w:sz="4" w:space="0" w:color="auto"/>
              <w:left w:val="single" w:sz="4" w:space="0" w:color="auto"/>
              <w:bottom w:val="single" w:sz="4" w:space="0" w:color="auto"/>
              <w:right w:val="single" w:sz="4" w:space="0" w:color="auto"/>
            </w:tcBorders>
            <w:hideMark/>
          </w:tcPr>
          <w:p w14:paraId="44E7B00B" w14:textId="77777777" w:rsidR="00FA56EB" w:rsidRDefault="00FA56EB">
            <w:pPr>
              <w:spacing w:line="240" w:lineRule="auto"/>
              <w:rPr>
                <w:b/>
                <w:sz w:val="24"/>
              </w:rPr>
            </w:pPr>
            <w:r>
              <w:rPr>
                <w:sz w:val="24"/>
              </w:rPr>
              <w:t>Combat Sports Industry representatives x 2</w:t>
            </w:r>
          </w:p>
        </w:tc>
        <w:tc>
          <w:tcPr>
            <w:tcW w:w="4508" w:type="dxa"/>
            <w:tcBorders>
              <w:top w:val="single" w:sz="4" w:space="0" w:color="auto"/>
              <w:left w:val="single" w:sz="4" w:space="0" w:color="auto"/>
              <w:bottom w:val="single" w:sz="4" w:space="0" w:color="auto"/>
              <w:right w:val="single" w:sz="4" w:space="0" w:color="auto"/>
            </w:tcBorders>
            <w:hideMark/>
          </w:tcPr>
          <w:p w14:paraId="07595CCF" w14:textId="77777777" w:rsidR="00FA56EB" w:rsidRDefault="00FA56EB">
            <w:pPr>
              <w:spacing w:line="240" w:lineRule="auto"/>
              <w:rPr>
                <w:sz w:val="24"/>
              </w:rPr>
            </w:pPr>
            <w:r>
              <w:rPr>
                <w:sz w:val="24"/>
              </w:rPr>
              <w:t>Sport specific expertise and industry knowledge.</w:t>
            </w:r>
          </w:p>
          <w:p w14:paraId="0A4A1744" w14:textId="29107C63" w:rsidR="00FA56EB" w:rsidRDefault="00FA56EB">
            <w:pPr>
              <w:spacing w:line="240" w:lineRule="auto"/>
              <w:rPr>
                <w:b/>
                <w:sz w:val="24"/>
              </w:rPr>
            </w:pPr>
          </w:p>
        </w:tc>
      </w:tr>
      <w:tr w:rsidR="00FA56EB" w14:paraId="5D4743E2" w14:textId="77777777" w:rsidTr="00FA56EB">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60747" w14:textId="77777777" w:rsidR="00FA56EB" w:rsidRDefault="00FA56EB">
            <w:pPr>
              <w:spacing w:line="240" w:lineRule="auto"/>
              <w:rPr>
                <w:b/>
                <w:sz w:val="24"/>
              </w:rPr>
            </w:pPr>
            <w:r>
              <w:rPr>
                <w:b/>
                <w:sz w:val="24"/>
              </w:rPr>
              <w:t>ACT Government Representatives</w:t>
            </w:r>
          </w:p>
          <w:p w14:paraId="7E8206AE" w14:textId="77777777" w:rsidR="00FA56EB" w:rsidRDefault="00FA56EB">
            <w:pPr>
              <w:spacing w:line="240" w:lineRule="auto"/>
              <w:rPr>
                <w:b/>
                <w:sz w:val="24"/>
              </w:rPr>
            </w:pPr>
          </w:p>
        </w:tc>
      </w:tr>
      <w:tr w:rsidR="00FA56EB" w14:paraId="22E0A95D" w14:textId="77777777" w:rsidTr="00FA56EB">
        <w:tc>
          <w:tcPr>
            <w:tcW w:w="4508" w:type="dxa"/>
            <w:tcBorders>
              <w:top w:val="single" w:sz="4" w:space="0" w:color="auto"/>
              <w:left w:val="single" w:sz="4" w:space="0" w:color="auto"/>
              <w:bottom w:val="single" w:sz="4" w:space="0" w:color="auto"/>
              <w:right w:val="single" w:sz="4" w:space="0" w:color="auto"/>
            </w:tcBorders>
            <w:hideMark/>
          </w:tcPr>
          <w:p w14:paraId="12042CEA" w14:textId="3802149A" w:rsidR="00FA56EB" w:rsidRDefault="00FA56EB" w:rsidP="005C3649">
            <w:pPr>
              <w:spacing w:line="240" w:lineRule="auto"/>
              <w:rPr>
                <w:b/>
                <w:sz w:val="24"/>
              </w:rPr>
            </w:pPr>
            <w:r>
              <w:rPr>
                <w:sz w:val="24"/>
              </w:rPr>
              <w:t xml:space="preserve">Controlled Sports Registrar </w:t>
            </w:r>
            <w:r w:rsidR="00141E57">
              <w:rPr>
                <w:sz w:val="24"/>
              </w:rPr>
              <w:t xml:space="preserve">– as </w:t>
            </w:r>
            <w:r w:rsidR="000D3112">
              <w:rPr>
                <w:sz w:val="24"/>
              </w:rPr>
              <w:t xml:space="preserve">appointed by the Minister – Position number E218. </w:t>
            </w:r>
            <w:r w:rsidR="00141E57">
              <w:rPr>
                <w:sz w:val="24"/>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453BD17E" w14:textId="11A98B6B" w:rsidR="00FA56EB" w:rsidRDefault="00FA56EB">
            <w:pPr>
              <w:spacing w:line="240" w:lineRule="auto"/>
              <w:rPr>
                <w:b/>
                <w:sz w:val="24"/>
              </w:rPr>
            </w:pPr>
            <w:r>
              <w:rPr>
                <w:sz w:val="24"/>
              </w:rPr>
              <w:t>Operational responsibility and regulatory context provision and expertise</w:t>
            </w:r>
            <w:r w:rsidR="000D3112">
              <w:rPr>
                <w:sz w:val="24"/>
              </w:rPr>
              <w:t>.</w:t>
            </w:r>
          </w:p>
        </w:tc>
      </w:tr>
      <w:tr w:rsidR="00FA56EB" w14:paraId="7EAD50B1" w14:textId="77777777" w:rsidTr="00FA56EB">
        <w:tc>
          <w:tcPr>
            <w:tcW w:w="4508" w:type="dxa"/>
            <w:tcBorders>
              <w:top w:val="single" w:sz="4" w:space="0" w:color="auto"/>
              <w:left w:val="single" w:sz="4" w:space="0" w:color="auto"/>
              <w:bottom w:val="single" w:sz="4" w:space="0" w:color="auto"/>
              <w:right w:val="single" w:sz="4" w:space="0" w:color="auto"/>
            </w:tcBorders>
            <w:hideMark/>
          </w:tcPr>
          <w:p w14:paraId="1FCE1F6B" w14:textId="57BE555B" w:rsidR="00FA56EB" w:rsidRDefault="00FA56EB" w:rsidP="005C3649">
            <w:pPr>
              <w:spacing w:line="240" w:lineRule="auto"/>
              <w:rPr>
                <w:b/>
                <w:sz w:val="24"/>
              </w:rPr>
            </w:pPr>
            <w:r>
              <w:rPr>
                <w:sz w:val="24"/>
              </w:rPr>
              <w:t>Sport and Recreation</w:t>
            </w:r>
            <w:r w:rsidR="00141E57">
              <w:rPr>
                <w:sz w:val="24"/>
              </w:rPr>
              <w:t>,</w:t>
            </w:r>
            <w:r>
              <w:rPr>
                <w:sz w:val="24"/>
              </w:rPr>
              <w:t xml:space="preserve"> Chief Minister, Treasury and Economic Development Directorate, Representative</w:t>
            </w:r>
            <w:r w:rsidR="00141E57">
              <w:rPr>
                <w:sz w:val="24"/>
              </w:rPr>
              <w:t xml:space="preserve"> - Position number E614 (Chair).</w:t>
            </w:r>
          </w:p>
        </w:tc>
        <w:tc>
          <w:tcPr>
            <w:tcW w:w="4508" w:type="dxa"/>
            <w:tcBorders>
              <w:top w:val="single" w:sz="4" w:space="0" w:color="auto"/>
              <w:left w:val="single" w:sz="4" w:space="0" w:color="auto"/>
              <w:bottom w:val="single" w:sz="4" w:space="0" w:color="auto"/>
              <w:right w:val="single" w:sz="4" w:space="0" w:color="auto"/>
            </w:tcBorders>
            <w:hideMark/>
          </w:tcPr>
          <w:p w14:paraId="4197FC0D" w14:textId="30564577" w:rsidR="00FA56EB" w:rsidRDefault="00FA56EB">
            <w:pPr>
              <w:spacing w:line="240" w:lineRule="auto"/>
              <w:rPr>
                <w:b/>
                <w:sz w:val="24"/>
              </w:rPr>
            </w:pPr>
            <w:r>
              <w:rPr>
                <w:sz w:val="24"/>
              </w:rPr>
              <w:t>Policy expertise and responsibility for controlled sports</w:t>
            </w:r>
            <w:r w:rsidR="000D3112">
              <w:rPr>
                <w:sz w:val="24"/>
              </w:rPr>
              <w:t>.</w:t>
            </w:r>
          </w:p>
        </w:tc>
      </w:tr>
    </w:tbl>
    <w:p w14:paraId="4331FC5D" w14:textId="6FAB6402" w:rsidR="0070482F" w:rsidRDefault="0070482F" w:rsidP="005C3649">
      <w:pPr>
        <w:rPr>
          <w:sz w:val="24"/>
        </w:rPr>
      </w:pPr>
    </w:p>
    <w:p w14:paraId="1D2893F8" w14:textId="1D3F3479" w:rsidR="0070482F" w:rsidRDefault="0070482F" w:rsidP="00FA721E">
      <w:pPr>
        <w:rPr>
          <w:b/>
          <w:sz w:val="32"/>
        </w:rPr>
      </w:pPr>
      <w:r>
        <w:rPr>
          <w:b/>
          <w:sz w:val="32"/>
        </w:rPr>
        <w:t>Chair</w:t>
      </w:r>
    </w:p>
    <w:p w14:paraId="56EAD4D6" w14:textId="4F46B6BE" w:rsidR="006F3820" w:rsidRDefault="00C56F65" w:rsidP="00FA56EB">
      <w:pPr>
        <w:rPr>
          <w:b/>
          <w:sz w:val="32"/>
        </w:rPr>
      </w:pPr>
      <w:r>
        <w:rPr>
          <w:sz w:val="24"/>
        </w:rPr>
        <w:t>The Chair o</w:t>
      </w:r>
      <w:r w:rsidR="00D94D64">
        <w:rPr>
          <w:sz w:val="24"/>
        </w:rPr>
        <w:t>f</w:t>
      </w:r>
      <w:r>
        <w:rPr>
          <w:sz w:val="24"/>
        </w:rPr>
        <w:t xml:space="preserve"> the C</w:t>
      </w:r>
      <w:r w:rsidR="00D94D64">
        <w:rPr>
          <w:sz w:val="24"/>
        </w:rPr>
        <w:t>ommittee</w:t>
      </w:r>
      <w:r>
        <w:rPr>
          <w:sz w:val="24"/>
        </w:rPr>
        <w:t xml:space="preserve"> is the</w:t>
      </w:r>
      <w:r w:rsidR="00141E57">
        <w:rPr>
          <w:sz w:val="24"/>
        </w:rPr>
        <w:t xml:space="preserve"> ACT Government, Sports and Recreation member. </w:t>
      </w:r>
      <w:r>
        <w:rPr>
          <w:sz w:val="24"/>
        </w:rPr>
        <w:t>The Deputy Chair is the Registrar</w:t>
      </w:r>
      <w:r w:rsidR="00D94D64">
        <w:rPr>
          <w:sz w:val="24"/>
        </w:rPr>
        <w:t>,</w:t>
      </w:r>
      <w:r>
        <w:rPr>
          <w:sz w:val="24"/>
        </w:rPr>
        <w:t xml:space="preserve"> who will fulfil </w:t>
      </w:r>
      <w:r w:rsidR="00D94D64">
        <w:rPr>
          <w:sz w:val="24"/>
        </w:rPr>
        <w:t xml:space="preserve">those </w:t>
      </w:r>
      <w:r>
        <w:rPr>
          <w:sz w:val="24"/>
        </w:rPr>
        <w:t xml:space="preserve">responsibilities if the Chair is absent or unavailable. </w:t>
      </w:r>
      <w:r w:rsidR="000D3112">
        <w:rPr>
          <w:sz w:val="24"/>
        </w:rPr>
        <w:t xml:space="preserve"> </w:t>
      </w:r>
    </w:p>
    <w:p w14:paraId="5BC55F6C" w14:textId="5F8A47A1" w:rsidR="00C27BAB" w:rsidRDefault="00C27BAB" w:rsidP="00FA56EB">
      <w:pPr>
        <w:rPr>
          <w:b/>
          <w:sz w:val="32"/>
        </w:rPr>
      </w:pPr>
      <w:r>
        <w:rPr>
          <w:b/>
          <w:sz w:val="32"/>
        </w:rPr>
        <w:t>Operation of the Committee</w:t>
      </w:r>
    </w:p>
    <w:p w14:paraId="448731F3" w14:textId="68451DCE" w:rsidR="00D94D64" w:rsidRDefault="00C56F65" w:rsidP="00555463">
      <w:pPr>
        <w:rPr>
          <w:sz w:val="24"/>
        </w:rPr>
      </w:pPr>
      <w:r>
        <w:rPr>
          <w:sz w:val="24"/>
        </w:rPr>
        <w:t>The C</w:t>
      </w:r>
      <w:r w:rsidR="00D94D64">
        <w:rPr>
          <w:sz w:val="24"/>
        </w:rPr>
        <w:t>ommittee</w:t>
      </w:r>
      <w:r>
        <w:rPr>
          <w:sz w:val="24"/>
        </w:rPr>
        <w:t xml:space="preserve"> may conduct business as it determines</w:t>
      </w:r>
      <w:r w:rsidR="000A7C5C">
        <w:rPr>
          <w:sz w:val="24"/>
        </w:rPr>
        <w:t>,</w:t>
      </w:r>
      <w:r>
        <w:rPr>
          <w:sz w:val="24"/>
        </w:rPr>
        <w:t xml:space="preserve"> including electronically. M</w:t>
      </w:r>
      <w:r w:rsidR="00555463">
        <w:rPr>
          <w:sz w:val="24"/>
        </w:rPr>
        <w:t xml:space="preserve">eetings </w:t>
      </w:r>
      <w:r w:rsidR="000A7C5C">
        <w:rPr>
          <w:sz w:val="24"/>
        </w:rPr>
        <w:t xml:space="preserve">are expected </w:t>
      </w:r>
      <w:r w:rsidR="00555463">
        <w:rPr>
          <w:sz w:val="24"/>
        </w:rPr>
        <w:t>to be held quarterly f</w:t>
      </w:r>
      <w:r w:rsidR="00D94D64">
        <w:rPr>
          <w:sz w:val="24"/>
        </w:rPr>
        <w:t>o</w:t>
      </w:r>
      <w:r w:rsidR="00555463">
        <w:rPr>
          <w:sz w:val="24"/>
        </w:rPr>
        <w:t>r the first 12 months f</w:t>
      </w:r>
      <w:r w:rsidR="00D94D64">
        <w:rPr>
          <w:sz w:val="24"/>
        </w:rPr>
        <w:t>rom</w:t>
      </w:r>
      <w:r w:rsidR="00555463">
        <w:rPr>
          <w:sz w:val="24"/>
        </w:rPr>
        <w:t xml:space="preserve"> the Act commencing and every 6 months thereafter. </w:t>
      </w:r>
    </w:p>
    <w:p w14:paraId="4A22B295" w14:textId="52965971" w:rsidR="00555463" w:rsidRDefault="00C56F65" w:rsidP="00555463">
      <w:pPr>
        <w:rPr>
          <w:sz w:val="24"/>
        </w:rPr>
      </w:pPr>
      <w:r>
        <w:rPr>
          <w:sz w:val="24"/>
        </w:rPr>
        <w:t>The</w:t>
      </w:r>
      <w:r w:rsidR="00555463">
        <w:rPr>
          <w:sz w:val="24"/>
        </w:rPr>
        <w:t xml:space="preserve"> Chair of </w:t>
      </w:r>
      <w:r w:rsidR="00D94D64">
        <w:rPr>
          <w:sz w:val="24"/>
        </w:rPr>
        <w:t xml:space="preserve">the </w:t>
      </w:r>
      <w:r w:rsidR="00555463">
        <w:rPr>
          <w:sz w:val="24"/>
        </w:rPr>
        <w:t>C</w:t>
      </w:r>
      <w:r w:rsidR="00D94D64">
        <w:rPr>
          <w:sz w:val="24"/>
        </w:rPr>
        <w:t>ommittee</w:t>
      </w:r>
      <w:r w:rsidR="000D3112">
        <w:rPr>
          <w:sz w:val="24"/>
        </w:rPr>
        <w:t xml:space="preserve"> or their representative</w:t>
      </w:r>
      <w:r>
        <w:rPr>
          <w:sz w:val="24"/>
        </w:rPr>
        <w:t xml:space="preserve"> will coordinate </w:t>
      </w:r>
      <w:r w:rsidR="00D94D64">
        <w:rPr>
          <w:sz w:val="24"/>
        </w:rPr>
        <w:t>Committee</w:t>
      </w:r>
      <w:r>
        <w:rPr>
          <w:sz w:val="24"/>
        </w:rPr>
        <w:t xml:space="preserve"> business and keep minutes of all meetings and </w:t>
      </w:r>
      <w:r w:rsidR="00D94D64">
        <w:rPr>
          <w:sz w:val="24"/>
        </w:rPr>
        <w:t xml:space="preserve">records of </w:t>
      </w:r>
      <w:r w:rsidR="0042483C">
        <w:rPr>
          <w:sz w:val="24"/>
        </w:rPr>
        <w:t>out of session business</w:t>
      </w:r>
      <w:r w:rsidR="00555463">
        <w:rPr>
          <w:sz w:val="24"/>
        </w:rPr>
        <w:t xml:space="preserve">. The meetings are to discuss and review matters associated </w:t>
      </w:r>
      <w:r w:rsidR="00D94D64">
        <w:rPr>
          <w:sz w:val="24"/>
        </w:rPr>
        <w:t>with the</w:t>
      </w:r>
      <w:r w:rsidR="00555463">
        <w:rPr>
          <w:sz w:val="24"/>
        </w:rPr>
        <w:t xml:space="preserve"> functions</w:t>
      </w:r>
      <w:r w:rsidR="00D94D64">
        <w:rPr>
          <w:sz w:val="24"/>
        </w:rPr>
        <w:t xml:space="preserve"> of the Committee</w:t>
      </w:r>
      <w:r w:rsidR="00555463">
        <w:rPr>
          <w:sz w:val="24"/>
        </w:rPr>
        <w:t>, unless otherwise specified</w:t>
      </w:r>
      <w:r w:rsidR="00D94D64">
        <w:rPr>
          <w:sz w:val="24"/>
        </w:rPr>
        <w:t xml:space="preserve"> by the Chair</w:t>
      </w:r>
      <w:r w:rsidR="00555463">
        <w:rPr>
          <w:sz w:val="24"/>
        </w:rPr>
        <w:t xml:space="preserve">.  </w:t>
      </w:r>
    </w:p>
    <w:p w14:paraId="65A963E0" w14:textId="1FC201E2" w:rsidR="00B52DAB" w:rsidRPr="003E0017" w:rsidRDefault="00B52DAB" w:rsidP="00555463">
      <w:pPr>
        <w:rPr>
          <w:sz w:val="24"/>
        </w:rPr>
      </w:pPr>
      <w:r w:rsidRPr="003E0017">
        <w:rPr>
          <w:sz w:val="24"/>
        </w:rPr>
        <w:t>A C</w:t>
      </w:r>
      <w:r w:rsidR="00D94D64" w:rsidRPr="003E0017">
        <w:rPr>
          <w:sz w:val="24"/>
        </w:rPr>
        <w:t>ommittee</w:t>
      </w:r>
      <w:r w:rsidRPr="003E0017">
        <w:rPr>
          <w:sz w:val="24"/>
        </w:rPr>
        <w:t xml:space="preserve"> meeting may only proceed if: </w:t>
      </w:r>
    </w:p>
    <w:p w14:paraId="2E6972ED" w14:textId="3313134A" w:rsidR="00B52DAB" w:rsidRPr="003E0017" w:rsidRDefault="00B52DAB" w:rsidP="00B52DAB">
      <w:pPr>
        <w:pStyle w:val="ListParagraph"/>
        <w:numPr>
          <w:ilvl w:val="0"/>
          <w:numId w:val="8"/>
        </w:numPr>
        <w:rPr>
          <w:sz w:val="24"/>
        </w:rPr>
      </w:pPr>
      <w:r w:rsidRPr="003E0017">
        <w:rPr>
          <w:sz w:val="24"/>
        </w:rPr>
        <w:t xml:space="preserve">There are at least three committee members present; and </w:t>
      </w:r>
    </w:p>
    <w:p w14:paraId="619397C4" w14:textId="09DE5FEF" w:rsidR="00B52DAB" w:rsidRPr="003E0017" w:rsidRDefault="00B52DAB" w:rsidP="00B52DAB">
      <w:pPr>
        <w:pStyle w:val="ListParagraph"/>
        <w:numPr>
          <w:ilvl w:val="0"/>
          <w:numId w:val="8"/>
        </w:numPr>
        <w:rPr>
          <w:sz w:val="24"/>
        </w:rPr>
      </w:pPr>
      <w:r w:rsidRPr="003E0017">
        <w:rPr>
          <w:sz w:val="24"/>
        </w:rPr>
        <w:t xml:space="preserve">The Chair (or the Deputy Chair) is present. </w:t>
      </w:r>
    </w:p>
    <w:p w14:paraId="1FEE930F" w14:textId="1F48BA5C" w:rsidR="00B52DAB" w:rsidRPr="003E0017" w:rsidRDefault="000A7C5C" w:rsidP="00B52DAB">
      <w:pPr>
        <w:rPr>
          <w:sz w:val="24"/>
        </w:rPr>
      </w:pPr>
      <w:r w:rsidRPr="003E0017">
        <w:rPr>
          <w:sz w:val="24"/>
        </w:rPr>
        <w:lastRenderedPageBreak/>
        <w:t xml:space="preserve">The Committee is a consensus </w:t>
      </w:r>
      <w:r w:rsidR="00706917" w:rsidRPr="003E0017">
        <w:rPr>
          <w:sz w:val="24"/>
        </w:rPr>
        <w:t xml:space="preserve">advisory </w:t>
      </w:r>
      <w:r w:rsidRPr="003E0017">
        <w:rPr>
          <w:sz w:val="24"/>
        </w:rPr>
        <w:t xml:space="preserve">body.  </w:t>
      </w:r>
    </w:p>
    <w:p w14:paraId="0EAEB3F3" w14:textId="0A32016F" w:rsidR="000A7C5C" w:rsidRPr="003E0017" w:rsidRDefault="005D4334" w:rsidP="00B52DAB">
      <w:pPr>
        <w:rPr>
          <w:sz w:val="24"/>
        </w:rPr>
      </w:pPr>
      <w:r w:rsidRPr="003E0017">
        <w:rPr>
          <w:sz w:val="24"/>
        </w:rPr>
        <w:t xml:space="preserve">On matters where </w:t>
      </w:r>
      <w:r w:rsidR="000A7C5C" w:rsidRPr="003E0017">
        <w:rPr>
          <w:sz w:val="24"/>
        </w:rPr>
        <w:t>the C</w:t>
      </w:r>
      <w:r w:rsidRPr="003E0017">
        <w:rPr>
          <w:sz w:val="24"/>
        </w:rPr>
        <w:t>ommittee</w:t>
      </w:r>
      <w:r w:rsidR="000A7C5C" w:rsidRPr="003E0017">
        <w:rPr>
          <w:sz w:val="24"/>
        </w:rPr>
        <w:t xml:space="preserve"> cannot find consensus</w:t>
      </w:r>
      <w:r w:rsidRPr="003E0017">
        <w:rPr>
          <w:sz w:val="24"/>
        </w:rPr>
        <w:t>, individual</w:t>
      </w:r>
      <w:r w:rsidR="00464790" w:rsidRPr="003E0017">
        <w:rPr>
          <w:sz w:val="24"/>
        </w:rPr>
        <w:t xml:space="preserve"> members</w:t>
      </w:r>
      <w:r w:rsidRPr="003E0017">
        <w:rPr>
          <w:sz w:val="24"/>
        </w:rPr>
        <w:t xml:space="preserve"> or a collective group of members may elect to </w:t>
      </w:r>
      <w:r w:rsidR="000A7C5C" w:rsidRPr="003E0017">
        <w:rPr>
          <w:sz w:val="24"/>
        </w:rPr>
        <w:t xml:space="preserve">have the Chair </w:t>
      </w:r>
      <w:r w:rsidRPr="003E0017">
        <w:rPr>
          <w:sz w:val="24"/>
        </w:rPr>
        <w:t>provide a</w:t>
      </w:r>
      <w:r w:rsidR="0056038E" w:rsidRPr="003E0017">
        <w:rPr>
          <w:sz w:val="24"/>
        </w:rPr>
        <w:t>dvice</w:t>
      </w:r>
      <w:r w:rsidRPr="003E0017">
        <w:rPr>
          <w:sz w:val="24"/>
        </w:rPr>
        <w:t xml:space="preserve"> </w:t>
      </w:r>
      <w:r w:rsidR="000A7C5C" w:rsidRPr="003E0017">
        <w:rPr>
          <w:sz w:val="24"/>
        </w:rPr>
        <w:t xml:space="preserve">to the Minister that </w:t>
      </w:r>
      <w:r w:rsidRPr="003E0017">
        <w:rPr>
          <w:sz w:val="24"/>
        </w:rPr>
        <w:t>not</w:t>
      </w:r>
      <w:r w:rsidR="000A7C5C" w:rsidRPr="003E0017">
        <w:rPr>
          <w:sz w:val="24"/>
        </w:rPr>
        <w:t>es</w:t>
      </w:r>
      <w:r w:rsidRPr="003E0017">
        <w:rPr>
          <w:sz w:val="24"/>
        </w:rPr>
        <w:t xml:space="preserve"> the reasons why they disagree with the advice </w:t>
      </w:r>
      <w:r w:rsidR="000D3112" w:rsidRPr="003E0017">
        <w:rPr>
          <w:sz w:val="24"/>
        </w:rPr>
        <w:t>provided</w:t>
      </w:r>
      <w:r w:rsidRPr="003E0017">
        <w:rPr>
          <w:sz w:val="24"/>
        </w:rPr>
        <w:t xml:space="preserve">. </w:t>
      </w:r>
      <w:r w:rsidR="00B52DAB" w:rsidRPr="003E0017">
        <w:rPr>
          <w:sz w:val="24"/>
        </w:rPr>
        <w:t xml:space="preserve"> </w:t>
      </w:r>
    </w:p>
    <w:p w14:paraId="0ACC7F96" w14:textId="7D6517C2" w:rsidR="00B52DAB" w:rsidRDefault="000A7C5C" w:rsidP="00B52DAB">
      <w:pPr>
        <w:rPr>
          <w:sz w:val="24"/>
        </w:rPr>
      </w:pPr>
      <w:r w:rsidRPr="003E0017">
        <w:rPr>
          <w:sz w:val="24"/>
        </w:rPr>
        <w:t xml:space="preserve">If the </w:t>
      </w:r>
      <w:r w:rsidR="00706917" w:rsidRPr="003E0017">
        <w:rPr>
          <w:sz w:val="24"/>
        </w:rPr>
        <w:t>view</w:t>
      </w:r>
      <w:r w:rsidRPr="003E0017">
        <w:rPr>
          <w:sz w:val="24"/>
        </w:rPr>
        <w:t>s of the Committee on a question are equally divided, the Chair will make the final decision on the form of advice to be provided to the Minister. The minutes must however reflect this discussion and the position of individual members.</w:t>
      </w:r>
    </w:p>
    <w:p w14:paraId="06EE9835" w14:textId="5177CDF6" w:rsidR="00B52DAB" w:rsidRDefault="00B52DAB" w:rsidP="00B52DAB">
      <w:pPr>
        <w:rPr>
          <w:sz w:val="24"/>
        </w:rPr>
      </w:pPr>
      <w:r>
        <w:rPr>
          <w:sz w:val="24"/>
        </w:rPr>
        <w:t>The C</w:t>
      </w:r>
      <w:r w:rsidR="00464790">
        <w:rPr>
          <w:sz w:val="24"/>
        </w:rPr>
        <w:t>ommittee</w:t>
      </w:r>
      <w:r>
        <w:rPr>
          <w:sz w:val="24"/>
        </w:rPr>
        <w:t xml:space="preserve"> will report to the Minister on an annual basis by 30 October of that year, on any matter referred to it by the Minister. The first report will be due on 30 October 2020. </w:t>
      </w:r>
    </w:p>
    <w:p w14:paraId="5F2AAB0F" w14:textId="5B9E4FD6" w:rsidR="0056038E" w:rsidRPr="00B52DAB" w:rsidRDefault="00B52DAB" w:rsidP="00B52DAB">
      <w:pPr>
        <w:rPr>
          <w:sz w:val="24"/>
        </w:rPr>
      </w:pPr>
      <w:r>
        <w:rPr>
          <w:sz w:val="24"/>
        </w:rPr>
        <w:t>Annual reports will include a s</w:t>
      </w:r>
      <w:r w:rsidRPr="0056038E">
        <w:rPr>
          <w:sz w:val="24"/>
        </w:rPr>
        <w:t xml:space="preserve">ummary of matters and advice provided throughout the year. </w:t>
      </w:r>
    </w:p>
    <w:p w14:paraId="19878BB7" w14:textId="09026D36" w:rsidR="00482500" w:rsidRDefault="00436E10" w:rsidP="00482500">
      <w:pPr>
        <w:rPr>
          <w:b/>
          <w:sz w:val="32"/>
        </w:rPr>
      </w:pPr>
      <w:r>
        <w:rPr>
          <w:b/>
          <w:sz w:val="32"/>
        </w:rPr>
        <w:t xml:space="preserve">Requests for Advice </w:t>
      </w:r>
    </w:p>
    <w:p w14:paraId="61AE0FAE" w14:textId="5FCAEB08" w:rsidR="0056038E" w:rsidRDefault="0056038E" w:rsidP="00482500">
      <w:pPr>
        <w:rPr>
          <w:sz w:val="24"/>
        </w:rPr>
      </w:pPr>
      <w:r w:rsidRPr="003E0017">
        <w:rPr>
          <w:sz w:val="24"/>
        </w:rPr>
        <w:t>The C</w:t>
      </w:r>
      <w:r w:rsidR="00464790" w:rsidRPr="003E0017">
        <w:rPr>
          <w:sz w:val="24"/>
        </w:rPr>
        <w:t>ommittee</w:t>
      </w:r>
      <w:r w:rsidRPr="003E0017">
        <w:rPr>
          <w:sz w:val="24"/>
        </w:rPr>
        <w:t xml:space="preserve"> may receive a request from the Minister for advice on a particular matter. Members may also propose items for the agenda to provide advice on a matter that falls within the scope of the Act.</w:t>
      </w:r>
      <w:r w:rsidRPr="0056038E">
        <w:rPr>
          <w:sz w:val="24"/>
        </w:rPr>
        <w:t xml:space="preserve"> </w:t>
      </w:r>
    </w:p>
    <w:p w14:paraId="1EE2B1FF" w14:textId="7BCEDEE6" w:rsidR="000D3112" w:rsidRDefault="000D3112" w:rsidP="00482500">
      <w:pPr>
        <w:rPr>
          <w:sz w:val="24"/>
        </w:rPr>
      </w:pPr>
      <w:r>
        <w:rPr>
          <w:sz w:val="24"/>
        </w:rPr>
        <w:t xml:space="preserve">Specialist members may be provided with individual </w:t>
      </w:r>
      <w:r w:rsidR="00464790">
        <w:rPr>
          <w:sz w:val="24"/>
        </w:rPr>
        <w:t xml:space="preserve">requests </w:t>
      </w:r>
      <w:r>
        <w:rPr>
          <w:sz w:val="24"/>
        </w:rPr>
        <w:t>where the advice sought relates to their area of specialist expertise only. All other matters must be considered by the whole C</w:t>
      </w:r>
      <w:r w:rsidR="00464790">
        <w:rPr>
          <w:sz w:val="24"/>
        </w:rPr>
        <w:t>ommittee</w:t>
      </w:r>
      <w:r>
        <w:rPr>
          <w:sz w:val="24"/>
        </w:rPr>
        <w:t xml:space="preserve">. </w:t>
      </w:r>
    </w:p>
    <w:p w14:paraId="174B351B" w14:textId="4A639A22" w:rsidR="002B472F" w:rsidRDefault="002B472F" w:rsidP="00FA56EB">
      <w:pPr>
        <w:rPr>
          <w:b/>
          <w:sz w:val="32"/>
        </w:rPr>
      </w:pPr>
      <w:r>
        <w:rPr>
          <w:b/>
          <w:sz w:val="32"/>
        </w:rPr>
        <w:t xml:space="preserve">Appointment of Committee members </w:t>
      </w:r>
    </w:p>
    <w:p w14:paraId="33F3BA5B" w14:textId="77777777" w:rsidR="00464790" w:rsidRDefault="002B472F" w:rsidP="00FA56EB">
      <w:pPr>
        <w:rPr>
          <w:sz w:val="24"/>
        </w:rPr>
      </w:pPr>
      <w:r w:rsidRPr="002B472F">
        <w:rPr>
          <w:sz w:val="24"/>
        </w:rPr>
        <w:t xml:space="preserve">Members </w:t>
      </w:r>
      <w:r>
        <w:rPr>
          <w:sz w:val="24"/>
        </w:rPr>
        <w:t xml:space="preserve">are appointed by the Minister for a period of 36 months (three years). </w:t>
      </w:r>
    </w:p>
    <w:p w14:paraId="6A1CDDD2" w14:textId="5BD3F036" w:rsidR="002B472F" w:rsidRPr="002B472F" w:rsidRDefault="002B472F" w:rsidP="00FA56EB">
      <w:pPr>
        <w:rPr>
          <w:sz w:val="24"/>
        </w:rPr>
      </w:pPr>
      <w:r>
        <w:rPr>
          <w:sz w:val="24"/>
        </w:rPr>
        <w:t xml:space="preserve">Members of a specific profession required to be a part of </w:t>
      </w:r>
      <w:r w:rsidR="00464790">
        <w:rPr>
          <w:sz w:val="24"/>
        </w:rPr>
        <w:t xml:space="preserve">the </w:t>
      </w:r>
      <w:r>
        <w:rPr>
          <w:sz w:val="24"/>
        </w:rPr>
        <w:t>C</w:t>
      </w:r>
      <w:r w:rsidR="00464790">
        <w:rPr>
          <w:sz w:val="24"/>
        </w:rPr>
        <w:t>ommittee</w:t>
      </w:r>
      <w:r>
        <w:rPr>
          <w:sz w:val="24"/>
        </w:rPr>
        <w:t xml:space="preserve"> </w:t>
      </w:r>
      <w:r w:rsidR="00464790">
        <w:rPr>
          <w:sz w:val="24"/>
        </w:rPr>
        <w:t xml:space="preserve">(Police, medical officers, ACT Government representatives) </w:t>
      </w:r>
      <w:r>
        <w:rPr>
          <w:sz w:val="24"/>
        </w:rPr>
        <w:t xml:space="preserve">will be appointed by the Minister. Industry representatives </w:t>
      </w:r>
      <w:r w:rsidR="00052837">
        <w:rPr>
          <w:sz w:val="24"/>
        </w:rPr>
        <w:t>are</w:t>
      </w:r>
      <w:r>
        <w:rPr>
          <w:sz w:val="24"/>
        </w:rPr>
        <w:t xml:space="preserve"> required to nominate in response to selection criteria and will be recommended by a selection committee </w:t>
      </w:r>
      <w:r w:rsidR="00464790">
        <w:rPr>
          <w:sz w:val="24"/>
        </w:rPr>
        <w:t xml:space="preserve">for appointment </w:t>
      </w:r>
      <w:r>
        <w:rPr>
          <w:sz w:val="24"/>
        </w:rPr>
        <w:t xml:space="preserve">by the Minister.  </w:t>
      </w:r>
    </w:p>
    <w:p w14:paraId="59FD8B90" w14:textId="6DD95562" w:rsidR="00FA56EB" w:rsidRDefault="00C13A0C" w:rsidP="00FA56EB">
      <w:pPr>
        <w:rPr>
          <w:b/>
          <w:sz w:val="32"/>
        </w:rPr>
      </w:pPr>
      <w:r>
        <w:rPr>
          <w:b/>
          <w:sz w:val="32"/>
        </w:rPr>
        <w:t>Review of Committee</w:t>
      </w:r>
      <w:r w:rsidR="002B472F">
        <w:rPr>
          <w:b/>
          <w:sz w:val="32"/>
        </w:rPr>
        <w:t xml:space="preserve"> membership</w:t>
      </w:r>
    </w:p>
    <w:p w14:paraId="2330C31B" w14:textId="31F45633" w:rsidR="004A5A2D" w:rsidRDefault="00FA56EB" w:rsidP="00FA56EB">
      <w:pPr>
        <w:rPr>
          <w:sz w:val="24"/>
        </w:rPr>
      </w:pPr>
      <w:r>
        <w:rPr>
          <w:sz w:val="24"/>
        </w:rPr>
        <w:t>The composition of the C</w:t>
      </w:r>
      <w:r w:rsidR="00464790">
        <w:rPr>
          <w:sz w:val="24"/>
        </w:rPr>
        <w:t>ommittee</w:t>
      </w:r>
      <w:r>
        <w:rPr>
          <w:sz w:val="24"/>
        </w:rPr>
        <w:t xml:space="preserve"> </w:t>
      </w:r>
      <w:r w:rsidR="00464790">
        <w:rPr>
          <w:sz w:val="24"/>
        </w:rPr>
        <w:t>will</w:t>
      </w:r>
      <w:r>
        <w:rPr>
          <w:sz w:val="24"/>
        </w:rPr>
        <w:t xml:space="preserve"> be reviewed every 36 months</w:t>
      </w:r>
      <w:r w:rsidR="000D3112">
        <w:rPr>
          <w:sz w:val="24"/>
        </w:rPr>
        <w:t xml:space="preserve"> (three years)</w:t>
      </w:r>
      <w:r>
        <w:rPr>
          <w:sz w:val="24"/>
        </w:rPr>
        <w:t xml:space="preserve">. </w:t>
      </w:r>
      <w:r w:rsidR="002B472F">
        <w:rPr>
          <w:sz w:val="24"/>
        </w:rPr>
        <w:t>Nomination processe</w:t>
      </w:r>
      <w:r w:rsidR="00052837">
        <w:rPr>
          <w:sz w:val="24"/>
        </w:rPr>
        <w:t>s</w:t>
      </w:r>
      <w:r w:rsidR="002B472F">
        <w:rPr>
          <w:sz w:val="24"/>
        </w:rPr>
        <w:t xml:space="preserve"> will follow the procedures for appointment. M</w:t>
      </w:r>
      <w:r>
        <w:rPr>
          <w:sz w:val="24"/>
        </w:rPr>
        <w:t xml:space="preserve">embers are eligible for re-appointment for additional terms. </w:t>
      </w:r>
    </w:p>
    <w:p w14:paraId="05D513EB" w14:textId="5A69E34E" w:rsidR="00052837" w:rsidRPr="00052837" w:rsidRDefault="002B472F" w:rsidP="00D436F2">
      <w:pPr>
        <w:rPr>
          <w:b/>
          <w:sz w:val="32"/>
        </w:rPr>
      </w:pPr>
      <w:r w:rsidRPr="002B472F">
        <w:rPr>
          <w:b/>
          <w:sz w:val="32"/>
        </w:rPr>
        <w:t xml:space="preserve">Code of Conduct </w:t>
      </w:r>
    </w:p>
    <w:p w14:paraId="5CC81DF6" w14:textId="3844D94E" w:rsidR="00D436F2" w:rsidRDefault="00532F0B" w:rsidP="00D436F2">
      <w:pPr>
        <w:rPr>
          <w:sz w:val="24"/>
        </w:rPr>
      </w:pPr>
      <w:r w:rsidRPr="00532F0B">
        <w:rPr>
          <w:sz w:val="24"/>
        </w:rPr>
        <w:t xml:space="preserve">The ACT Government </w:t>
      </w:r>
      <w:hyperlink r:id="rId8" w:history="1">
        <w:r w:rsidRPr="00532F0B">
          <w:rPr>
            <w:rStyle w:val="Hyperlink"/>
            <w:sz w:val="24"/>
          </w:rPr>
          <w:t>Code of Conduct</w:t>
        </w:r>
      </w:hyperlink>
      <w:r w:rsidRPr="00532F0B">
        <w:rPr>
          <w:sz w:val="24"/>
        </w:rPr>
        <w:t xml:space="preserve"> outlines the standards of behaviour and ethical conduct expected of all people serving official appointments</w:t>
      </w:r>
      <w:r w:rsidR="00052837">
        <w:rPr>
          <w:sz w:val="24"/>
        </w:rPr>
        <w:t>. In addition, a</w:t>
      </w:r>
      <w:r w:rsidR="00756870" w:rsidRPr="00D436F2">
        <w:rPr>
          <w:sz w:val="24"/>
        </w:rPr>
        <w:t xml:space="preserve">ll committee members </w:t>
      </w:r>
      <w:r w:rsidR="002B472F">
        <w:rPr>
          <w:sz w:val="24"/>
        </w:rPr>
        <w:t>are required</w:t>
      </w:r>
      <w:r w:rsidR="00756870" w:rsidRPr="00D436F2">
        <w:rPr>
          <w:sz w:val="24"/>
        </w:rPr>
        <w:t xml:space="preserve"> </w:t>
      </w:r>
      <w:r w:rsidR="00970534" w:rsidRPr="00D436F2">
        <w:rPr>
          <w:sz w:val="24"/>
        </w:rPr>
        <w:t>to</w:t>
      </w:r>
      <w:r w:rsidR="00D436F2">
        <w:rPr>
          <w:sz w:val="24"/>
        </w:rPr>
        <w:t>:</w:t>
      </w:r>
    </w:p>
    <w:p w14:paraId="7A0B3045" w14:textId="1CD51331" w:rsidR="00A02FB9" w:rsidRDefault="002B472F" w:rsidP="00D436F2">
      <w:pPr>
        <w:pStyle w:val="ListParagraph"/>
        <w:numPr>
          <w:ilvl w:val="0"/>
          <w:numId w:val="7"/>
        </w:numPr>
        <w:rPr>
          <w:sz w:val="24"/>
        </w:rPr>
      </w:pPr>
      <w:r>
        <w:rPr>
          <w:sz w:val="24"/>
        </w:rPr>
        <w:t xml:space="preserve">Conduct </w:t>
      </w:r>
      <w:r w:rsidR="00A46781" w:rsidRPr="00D436F2">
        <w:rPr>
          <w:sz w:val="24"/>
        </w:rPr>
        <w:t>due diligence and good faith</w:t>
      </w:r>
      <w:r w:rsidR="00D2024D">
        <w:rPr>
          <w:sz w:val="24"/>
        </w:rPr>
        <w:t xml:space="preserve"> considerations</w:t>
      </w:r>
      <w:r w:rsidR="00A02FB9">
        <w:rPr>
          <w:sz w:val="24"/>
        </w:rPr>
        <w:t>;</w:t>
      </w:r>
    </w:p>
    <w:p w14:paraId="2EB470FC" w14:textId="72295721" w:rsidR="00D31225" w:rsidRPr="00D436F2" w:rsidRDefault="002B472F" w:rsidP="00D436F2">
      <w:pPr>
        <w:pStyle w:val="ListParagraph"/>
        <w:numPr>
          <w:ilvl w:val="0"/>
          <w:numId w:val="7"/>
        </w:numPr>
        <w:rPr>
          <w:sz w:val="24"/>
        </w:rPr>
      </w:pPr>
      <w:r>
        <w:rPr>
          <w:sz w:val="24"/>
        </w:rPr>
        <w:lastRenderedPageBreak/>
        <w:t>C</w:t>
      </w:r>
      <w:r w:rsidR="00A46781" w:rsidRPr="00D436F2">
        <w:rPr>
          <w:sz w:val="24"/>
        </w:rPr>
        <w:t xml:space="preserve">ommit to acting in the best interests of the </w:t>
      </w:r>
      <w:r w:rsidR="00D2024D">
        <w:rPr>
          <w:sz w:val="24"/>
        </w:rPr>
        <w:t>sector</w:t>
      </w:r>
      <w:r w:rsidR="00D2024D" w:rsidRPr="00D436F2">
        <w:rPr>
          <w:sz w:val="24"/>
        </w:rPr>
        <w:t xml:space="preserve"> </w:t>
      </w:r>
      <w:r w:rsidR="00A46781" w:rsidRPr="00D436F2">
        <w:rPr>
          <w:sz w:val="24"/>
        </w:rPr>
        <w:t>as a whole</w:t>
      </w:r>
      <w:r w:rsidR="00A02FB9">
        <w:rPr>
          <w:sz w:val="24"/>
        </w:rPr>
        <w:t>;</w:t>
      </w:r>
    </w:p>
    <w:p w14:paraId="10342CA4" w14:textId="719383B9" w:rsidR="00FC68F2" w:rsidRDefault="002B472F" w:rsidP="00D31225">
      <w:pPr>
        <w:pStyle w:val="ListParagraph"/>
        <w:numPr>
          <w:ilvl w:val="0"/>
          <w:numId w:val="4"/>
        </w:numPr>
        <w:rPr>
          <w:sz w:val="24"/>
        </w:rPr>
      </w:pPr>
      <w:r>
        <w:rPr>
          <w:sz w:val="24"/>
        </w:rPr>
        <w:t>Regularly attend meetings and converse on CSAC matters at other times as required</w:t>
      </w:r>
      <w:r w:rsidR="00D2024D">
        <w:rPr>
          <w:sz w:val="24"/>
        </w:rPr>
        <w:t xml:space="preserve">; </w:t>
      </w:r>
    </w:p>
    <w:p w14:paraId="3886A01C" w14:textId="44F0AB6D" w:rsidR="00FC68F2" w:rsidRDefault="002B472F" w:rsidP="00D31225">
      <w:pPr>
        <w:pStyle w:val="ListParagraph"/>
        <w:numPr>
          <w:ilvl w:val="0"/>
          <w:numId w:val="4"/>
        </w:numPr>
        <w:rPr>
          <w:sz w:val="24"/>
        </w:rPr>
      </w:pPr>
      <w:r>
        <w:rPr>
          <w:sz w:val="24"/>
        </w:rPr>
        <w:t>P</w:t>
      </w:r>
      <w:r w:rsidR="00A46781" w:rsidRPr="00D31225">
        <w:rPr>
          <w:sz w:val="24"/>
        </w:rPr>
        <w:t>articipat</w:t>
      </w:r>
      <w:r>
        <w:rPr>
          <w:sz w:val="24"/>
        </w:rPr>
        <w:t>e</w:t>
      </w:r>
      <w:r w:rsidR="00A46781" w:rsidRPr="00D31225">
        <w:rPr>
          <w:sz w:val="24"/>
        </w:rPr>
        <w:t xml:space="preserve"> in discussions</w:t>
      </w:r>
      <w:r w:rsidR="00D2024D">
        <w:rPr>
          <w:sz w:val="24"/>
        </w:rPr>
        <w:t xml:space="preserve">; </w:t>
      </w:r>
    </w:p>
    <w:p w14:paraId="64938CDB" w14:textId="25C67E24" w:rsidR="00FC68F2" w:rsidRDefault="002B472F" w:rsidP="00D31225">
      <w:pPr>
        <w:pStyle w:val="ListParagraph"/>
        <w:numPr>
          <w:ilvl w:val="0"/>
          <w:numId w:val="4"/>
        </w:numPr>
        <w:rPr>
          <w:sz w:val="24"/>
        </w:rPr>
      </w:pPr>
      <w:r>
        <w:rPr>
          <w:sz w:val="24"/>
        </w:rPr>
        <w:t>R</w:t>
      </w:r>
      <w:r w:rsidR="00A46781" w:rsidRPr="00D31225">
        <w:rPr>
          <w:sz w:val="24"/>
        </w:rPr>
        <w:t>ead and understand papers</w:t>
      </w:r>
      <w:r w:rsidR="00D2024D">
        <w:rPr>
          <w:sz w:val="24"/>
        </w:rPr>
        <w:t xml:space="preserve">; </w:t>
      </w:r>
    </w:p>
    <w:p w14:paraId="78074219" w14:textId="059980E2" w:rsidR="00FC68F2" w:rsidRPr="00532F0B" w:rsidRDefault="002B472F" w:rsidP="00532F0B">
      <w:pPr>
        <w:pStyle w:val="ListParagraph"/>
        <w:numPr>
          <w:ilvl w:val="0"/>
          <w:numId w:val="4"/>
        </w:numPr>
        <w:rPr>
          <w:sz w:val="24"/>
        </w:rPr>
      </w:pPr>
      <w:r>
        <w:rPr>
          <w:sz w:val="24"/>
        </w:rPr>
        <w:t>R</w:t>
      </w:r>
      <w:r w:rsidR="00A46781" w:rsidRPr="00D31225">
        <w:rPr>
          <w:sz w:val="24"/>
        </w:rPr>
        <w:t>ais</w:t>
      </w:r>
      <w:r>
        <w:rPr>
          <w:sz w:val="24"/>
        </w:rPr>
        <w:t>e</w:t>
      </w:r>
      <w:r w:rsidR="00A46781" w:rsidRPr="00D31225">
        <w:rPr>
          <w:sz w:val="24"/>
        </w:rPr>
        <w:t xml:space="preserve"> concerns</w:t>
      </w:r>
      <w:r>
        <w:rPr>
          <w:sz w:val="24"/>
        </w:rPr>
        <w:t xml:space="preserve"> (when applicable)</w:t>
      </w:r>
      <w:r w:rsidR="00D2024D">
        <w:rPr>
          <w:sz w:val="24"/>
        </w:rPr>
        <w:t xml:space="preserve">; </w:t>
      </w:r>
      <w:r w:rsidR="00A46781" w:rsidRPr="00532F0B">
        <w:rPr>
          <w:sz w:val="24"/>
        </w:rPr>
        <w:t xml:space="preserve">and </w:t>
      </w:r>
    </w:p>
    <w:p w14:paraId="1ABC669B" w14:textId="0BEC2CED" w:rsidR="00F82211" w:rsidRDefault="00381F56" w:rsidP="005D7E50">
      <w:pPr>
        <w:pStyle w:val="ListParagraph"/>
        <w:numPr>
          <w:ilvl w:val="0"/>
          <w:numId w:val="4"/>
        </w:numPr>
        <w:rPr>
          <w:sz w:val="24"/>
        </w:rPr>
      </w:pPr>
      <w:r>
        <w:rPr>
          <w:sz w:val="24"/>
        </w:rPr>
        <w:t xml:space="preserve">Treat access to information and </w:t>
      </w:r>
      <w:r w:rsidR="00A46781" w:rsidRPr="00D31225">
        <w:rPr>
          <w:sz w:val="24"/>
        </w:rPr>
        <w:t xml:space="preserve">advice </w:t>
      </w:r>
      <w:r>
        <w:rPr>
          <w:sz w:val="24"/>
        </w:rPr>
        <w:t>with the strictest</w:t>
      </w:r>
      <w:r w:rsidR="00A46781" w:rsidRPr="00D31225">
        <w:rPr>
          <w:sz w:val="24"/>
        </w:rPr>
        <w:t xml:space="preserve"> confidentiality</w:t>
      </w:r>
      <w:r w:rsidR="006C6F8E" w:rsidRPr="00D31225">
        <w:rPr>
          <w:sz w:val="24"/>
        </w:rPr>
        <w:t xml:space="preserve">. </w:t>
      </w:r>
    </w:p>
    <w:p w14:paraId="669D169A" w14:textId="11DBF624" w:rsidR="00136BFE" w:rsidRDefault="00697551" w:rsidP="00702EF4">
      <w:pPr>
        <w:rPr>
          <w:b/>
          <w:sz w:val="32"/>
        </w:rPr>
      </w:pPr>
      <w:r>
        <w:rPr>
          <w:sz w:val="24"/>
        </w:rPr>
        <w:t>Any committee members</w:t>
      </w:r>
      <w:r w:rsidR="00381F56">
        <w:rPr>
          <w:sz w:val="24"/>
        </w:rPr>
        <w:t xml:space="preserve"> found to be in breach of the code of conduct</w:t>
      </w:r>
      <w:r w:rsidR="00136BFE">
        <w:rPr>
          <w:sz w:val="24"/>
        </w:rPr>
        <w:t xml:space="preserve"> will be referred to the Chair for a review of the matter. </w:t>
      </w:r>
    </w:p>
    <w:p w14:paraId="35BAF7DF" w14:textId="37AF9969" w:rsidR="00702EF4" w:rsidRDefault="00E3044A" w:rsidP="00702EF4">
      <w:pPr>
        <w:rPr>
          <w:b/>
          <w:sz w:val="32"/>
        </w:rPr>
      </w:pPr>
      <w:r>
        <w:rPr>
          <w:b/>
          <w:sz w:val="32"/>
        </w:rPr>
        <w:t xml:space="preserve">Conflict of </w:t>
      </w:r>
      <w:r w:rsidR="006730C9">
        <w:rPr>
          <w:b/>
          <w:sz w:val="32"/>
        </w:rPr>
        <w:t>Interest Matters</w:t>
      </w:r>
    </w:p>
    <w:p w14:paraId="7BC87BA9" w14:textId="4D960051" w:rsidR="00585045" w:rsidRDefault="00585045" w:rsidP="00E3044A">
      <w:pPr>
        <w:rPr>
          <w:sz w:val="24"/>
          <w:szCs w:val="24"/>
        </w:rPr>
      </w:pPr>
      <w:r>
        <w:rPr>
          <w:sz w:val="24"/>
          <w:szCs w:val="24"/>
        </w:rPr>
        <w:t>Conflicts of interest must be declared and managed in accordance with the Chief Minister, Treasury and Economic Development Directorate’s ‘</w:t>
      </w:r>
      <w:hyperlink r:id="rId9" w:history="1">
        <w:r w:rsidRPr="00585045">
          <w:rPr>
            <w:rStyle w:val="Hyperlink"/>
            <w:sz w:val="24"/>
            <w:szCs w:val="24"/>
          </w:rPr>
          <w:t>Conflict of Interest Policy and Guidelines</w:t>
        </w:r>
      </w:hyperlink>
      <w:r>
        <w:rPr>
          <w:sz w:val="24"/>
          <w:szCs w:val="24"/>
        </w:rPr>
        <w:t xml:space="preserve">’.  </w:t>
      </w:r>
    </w:p>
    <w:p w14:paraId="03859E5A" w14:textId="72476AAF" w:rsidR="00052837" w:rsidRPr="00585045" w:rsidRDefault="00585045" w:rsidP="00E3044A">
      <w:pPr>
        <w:rPr>
          <w:sz w:val="24"/>
          <w:szCs w:val="24"/>
        </w:rPr>
      </w:pPr>
      <w:r>
        <w:rPr>
          <w:sz w:val="24"/>
          <w:szCs w:val="24"/>
        </w:rPr>
        <w:t>To avoid doubt, n</w:t>
      </w:r>
      <w:r w:rsidR="0038242A">
        <w:rPr>
          <w:sz w:val="24"/>
          <w:szCs w:val="24"/>
        </w:rPr>
        <w:t xml:space="preserve">o committee member </w:t>
      </w:r>
      <w:r w:rsidR="000B3CE2">
        <w:rPr>
          <w:sz w:val="24"/>
          <w:szCs w:val="24"/>
        </w:rPr>
        <w:t>is to</w:t>
      </w:r>
      <w:r w:rsidR="0038242A">
        <w:rPr>
          <w:sz w:val="24"/>
          <w:szCs w:val="24"/>
        </w:rPr>
        <w:t xml:space="preserve"> act in a way </w:t>
      </w:r>
      <w:r w:rsidR="00702EF4" w:rsidRPr="00702EF4">
        <w:rPr>
          <w:sz w:val="24"/>
          <w:szCs w:val="24"/>
        </w:rPr>
        <w:t xml:space="preserve">that unfairly favours any controlled sports </w:t>
      </w:r>
      <w:r w:rsidR="00942B67">
        <w:rPr>
          <w:sz w:val="24"/>
          <w:szCs w:val="24"/>
        </w:rPr>
        <w:t>or associations</w:t>
      </w:r>
      <w:r w:rsidR="00702EF4" w:rsidRPr="00702EF4">
        <w:rPr>
          <w:sz w:val="24"/>
          <w:szCs w:val="24"/>
        </w:rPr>
        <w:t xml:space="preserve"> in </w:t>
      </w:r>
      <w:r w:rsidR="00DB57BB">
        <w:rPr>
          <w:sz w:val="24"/>
          <w:szCs w:val="24"/>
        </w:rPr>
        <w:t>any</w:t>
      </w:r>
      <w:r w:rsidR="00702EF4" w:rsidRPr="00702EF4">
        <w:rPr>
          <w:sz w:val="24"/>
          <w:szCs w:val="24"/>
        </w:rPr>
        <w:t xml:space="preserve"> </w:t>
      </w:r>
      <w:r w:rsidR="00514EAC">
        <w:rPr>
          <w:sz w:val="24"/>
          <w:szCs w:val="24"/>
        </w:rPr>
        <w:t xml:space="preserve">way </w:t>
      </w:r>
      <w:r w:rsidR="00DB57BB">
        <w:rPr>
          <w:sz w:val="24"/>
          <w:szCs w:val="24"/>
        </w:rPr>
        <w:t xml:space="preserve">including </w:t>
      </w:r>
      <w:r w:rsidR="00D2024D">
        <w:rPr>
          <w:sz w:val="24"/>
          <w:szCs w:val="24"/>
        </w:rPr>
        <w:t xml:space="preserve">registered officials and contestants, </w:t>
      </w:r>
      <w:r w:rsidR="00DB57BB">
        <w:rPr>
          <w:sz w:val="24"/>
          <w:szCs w:val="24"/>
        </w:rPr>
        <w:t>registrable</w:t>
      </w:r>
      <w:r w:rsidR="00D2024D">
        <w:rPr>
          <w:sz w:val="24"/>
          <w:szCs w:val="24"/>
        </w:rPr>
        <w:t xml:space="preserve"> and</w:t>
      </w:r>
      <w:r w:rsidR="00B91A6F">
        <w:rPr>
          <w:sz w:val="24"/>
          <w:szCs w:val="24"/>
        </w:rPr>
        <w:t xml:space="preserve"> </w:t>
      </w:r>
      <w:r w:rsidR="00DB57BB">
        <w:rPr>
          <w:sz w:val="24"/>
          <w:szCs w:val="24"/>
        </w:rPr>
        <w:t>non-registrable</w:t>
      </w:r>
      <w:r w:rsidR="00514EAC">
        <w:rPr>
          <w:sz w:val="24"/>
          <w:szCs w:val="24"/>
        </w:rPr>
        <w:t xml:space="preserve"> events</w:t>
      </w:r>
      <w:r w:rsidR="00D2024D">
        <w:rPr>
          <w:sz w:val="24"/>
          <w:szCs w:val="24"/>
        </w:rPr>
        <w:t>, Authorised Controlled Sports Bodies,</w:t>
      </w:r>
      <w:r w:rsidR="00B91A6F">
        <w:rPr>
          <w:sz w:val="24"/>
          <w:szCs w:val="24"/>
        </w:rPr>
        <w:t xml:space="preserve"> and light </w:t>
      </w:r>
      <w:r w:rsidR="008320B5">
        <w:rPr>
          <w:sz w:val="24"/>
          <w:szCs w:val="24"/>
        </w:rPr>
        <w:t>contact-controlled</w:t>
      </w:r>
      <w:r w:rsidR="00B91A6F">
        <w:rPr>
          <w:sz w:val="24"/>
          <w:szCs w:val="24"/>
        </w:rPr>
        <w:t xml:space="preserve"> sports</w:t>
      </w:r>
      <w:r w:rsidR="00DB57BB">
        <w:rPr>
          <w:sz w:val="24"/>
          <w:szCs w:val="24"/>
        </w:rPr>
        <w:t xml:space="preserve">. All committee members must </w:t>
      </w:r>
      <w:r w:rsidR="00702EF4" w:rsidRPr="00702EF4">
        <w:rPr>
          <w:sz w:val="24"/>
          <w:szCs w:val="24"/>
        </w:rPr>
        <w:t>take all reasonable steps to avoid any actual or perceived conflict</w:t>
      </w:r>
      <w:r w:rsidR="00573B02">
        <w:rPr>
          <w:sz w:val="24"/>
          <w:szCs w:val="24"/>
        </w:rPr>
        <w:t xml:space="preserve"> </w:t>
      </w:r>
      <w:r w:rsidR="00702EF4" w:rsidRPr="00702EF4">
        <w:rPr>
          <w:sz w:val="24"/>
          <w:szCs w:val="24"/>
        </w:rPr>
        <w:t xml:space="preserve">of interest in </w:t>
      </w:r>
      <w:r w:rsidR="00DB57BB">
        <w:rPr>
          <w:sz w:val="24"/>
          <w:szCs w:val="24"/>
        </w:rPr>
        <w:t>providing any advice</w:t>
      </w:r>
      <w:r w:rsidR="00702EF4" w:rsidRPr="00702EF4">
        <w:rPr>
          <w:sz w:val="24"/>
          <w:szCs w:val="24"/>
        </w:rPr>
        <w:t xml:space="preserve"> </w:t>
      </w:r>
      <w:r w:rsidR="00DB57BB">
        <w:rPr>
          <w:sz w:val="24"/>
          <w:szCs w:val="24"/>
        </w:rPr>
        <w:t xml:space="preserve">on </w:t>
      </w:r>
      <w:r w:rsidR="008320B5">
        <w:rPr>
          <w:sz w:val="24"/>
          <w:szCs w:val="24"/>
        </w:rPr>
        <w:t>the rules of controlled sports, events, safety, risk management, sporting disciplines or any</w:t>
      </w:r>
      <w:r w:rsidR="00D2024D">
        <w:rPr>
          <w:sz w:val="24"/>
          <w:szCs w:val="24"/>
        </w:rPr>
        <w:t xml:space="preserve"> applications,</w:t>
      </w:r>
      <w:r w:rsidR="008320B5">
        <w:rPr>
          <w:sz w:val="24"/>
          <w:szCs w:val="24"/>
        </w:rPr>
        <w:t xml:space="preserve"> exemptions or appeals made.</w:t>
      </w:r>
      <w:r w:rsidR="008E0123">
        <w:rPr>
          <w:sz w:val="24"/>
          <w:szCs w:val="24"/>
        </w:rPr>
        <w:t xml:space="preserve"> </w:t>
      </w:r>
      <w:bookmarkStart w:id="1" w:name="_GoBack"/>
      <w:bookmarkEnd w:id="1"/>
    </w:p>
    <w:p w14:paraId="3ED82375" w14:textId="43E835D4" w:rsidR="005D7E50" w:rsidRDefault="005D7E50" w:rsidP="005D7E50">
      <w:pPr>
        <w:rPr>
          <w:b/>
          <w:sz w:val="32"/>
        </w:rPr>
      </w:pPr>
      <w:r w:rsidRPr="005D7E50">
        <w:rPr>
          <w:b/>
          <w:sz w:val="32"/>
        </w:rPr>
        <w:t>Re</w:t>
      </w:r>
      <w:r w:rsidR="00322A05">
        <w:rPr>
          <w:b/>
          <w:sz w:val="32"/>
        </w:rPr>
        <w:t>imbursement of reasonable expenses</w:t>
      </w:r>
    </w:p>
    <w:p w14:paraId="60D4625E" w14:textId="3E65E9F8" w:rsidR="00D2024D" w:rsidRDefault="00D2024D" w:rsidP="00D2024D">
      <w:pPr>
        <w:rPr>
          <w:b/>
          <w:sz w:val="24"/>
          <w:szCs w:val="24"/>
        </w:rPr>
      </w:pPr>
      <w:r w:rsidRPr="000A4D32">
        <w:rPr>
          <w:sz w:val="24"/>
          <w:szCs w:val="24"/>
        </w:rPr>
        <w:t>Members</w:t>
      </w:r>
      <w:r w:rsidR="00464790">
        <w:rPr>
          <w:sz w:val="24"/>
          <w:szCs w:val="24"/>
        </w:rPr>
        <w:t>hip</w:t>
      </w:r>
      <w:r w:rsidRPr="000A4D32">
        <w:rPr>
          <w:sz w:val="24"/>
          <w:szCs w:val="24"/>
        </w:rPr>
        <w:t xml:space="preserve"> of the advisory committee </w:t>
      </w:r>
      <w:r w:rsidR="00464790">
        <w:rPr>
          <w:sz w:val="24"/>
          <w:szCs w:val="24"/>
        </w:rPr>
        <w:t>is</w:t>
      </w:r>
      <w:r w:rsidRPr="000A4D32">
        <w:rPr>
          <w:sz w:val="24"/>
          <w:szCs w:val="24"/>
        </w:rPr>
        <w:t xml:space="preserve"> non-renumerated</w:t>
      </w:r>
      <w:r>
        <w:rPr>
          <w:sz w:val="24"/>
          <w:szCs w:val="24"/>
        </w:rPr>
        <w:t>,</w:t>
      </w:r>
      <w:r w:rsidRPr="000A4D32">
        <w:rPr>
          <w:sz w:val="24"/>
          <w:szCs w:val="24"/>
        </w:rPr>
        <w:t xml:space="preserve"> however representatives may apply </w:t>
      </w:r>
      <w:r w:rsidR="00322A05">
        <w:rPr>
          <w:sz w:val="24"/>
          <w:szCs w:val="24"/>
        </w:rPr>
        <w:t xml:space="preserve">to the Chair </w:t>
      </w:r>
      <w:r w:rsidRPr="000A4D32">
        <w:rPr>
          <w:sz w:val="24"/>
          <w:szCs w:val="24"/>
        </w:rPr>
        <w:t xml:space="preserve">for reimbursement of expenses reasonably incurred for the purpose of attending a committee meeting. </w:t>
      </w:r>
    </w:p>
    <w:p w14:paraId="712DACB1" w14:textId="30A539BE" w:rsidR="00FA56EB" w:rsidRPr="009420C5" w:rsidRDefault="00FA56EB" w:rsidP="009420C5">
      <w:pPr>
        <w:rPr>
          <w:b/>
          <w:sz w:val="28"/>
        </w:rPr>
      </w:pPr>
      <w:r w:rsidRPr="009420C5">
        <w:rPr>
          <w:b/>
          <w:sz w:val="28"/>
        </w:rPr>
        <w:t>Confidentiality</w:t>
      </w:r>
      <w:r w:rsidR="004A78EF">
        <w:rPr>
          <w:b/>
          <w:sz w:val="28"/>
        </w:rPr>
        <w:t xml:space="preserve"> </w:t>
      </w:r>
    </w:p>
    <w:p w14:paraId="00470787" w14:textId="7F7E50F0" w:rsidR="00F73A26" w:rsidRDefault="00585045" w:rsidP="00FA56EB">
      <w:pPr>
        <w:rPr>
          <w:sz w:val="24"/>
        </w:rPr>
      </w:pPr>
      <w:r>
        <w:rPr>
          <w:sz w:val="24"/>
        </w:rPr>
        <w:t>C</w:t>
      </w:r>
      <w:r w:rsidR="00C7708E">
        <w:rPr>
          <w:sz w:val="24"/>
        </w:rPr>
        <w:t xml:space="preserve">ommittee members </w:t>
      </w:r>
      <w:r>
        <w:rPr>
          <w:sz w:val="24"/>
        </w:rPr>
        <w:t xml:space="preserve">must not disclose </w:t>
      </w:r>
      <w:r w:rsidR="00C7708E">
        <w:rPr>
          <w:sz w:val="24"/>
        </w:rPr>
        <w:t>a</w:t>
      </w:r>
      <w:r w:rsidR="00241D0A">
        <w:rPr>
          <w:sz w:val="24"/>
        </w:rPr>
        <w:t xml:space="preserve">ny </w:t>
      </w:r>
      <w:r w:rsidR="00322A05">
        <w:rPr>
          <w:sz w:val="24"/>
        </w:rPr>
        <w:t xml:space="preserve">Committee </w:t>
      </w:r>
      <w:r w:rsidR="00241D0A">
        <w:rPr>
          <w:sz w:val="24"/>
        </w:rPr>
        <w:t>content discussed verbally</w:t>
      </w:r>
      <w:r w:rsidR="009B2A68">
        <w:rPr>
          <w:sz w:val="24"/>
        </w:rPr>
        <w:t>,</w:t>
      </w:r>
      <w:r w:rsidR="00241D0A">
        <w:rPr>
          <w:sz w:val="24"/>
        </w:rPr>
        <w:t xml:space="preserve"> in written form </w:t>
      </w:r>
      <w:r w:rsidR="009B2A68">
        <w:rPr>
          <w:sz w:val="24"/>
        </w:rPr>
        <w:t xml:space="preserve">or through electronic means </w:t>
      </w:r>
      <w:r w:rsidR="00C23597">
        <w:rPr>
          <w:sz w:val="24"/>
        </w:rPr>
        <w:t>outside of the</w:t>
      </w:r>
      <w:r>
        <w:rPr>
          <w:sz w:val="24"/>
        </w:rPr>
        <w:t xml:space="preserve"> </w:t>
      </w:r>
      <w:r w:rsidR="00322A05">
        <w:rPr>
          <w:sz w:val="24"/>
        </w:rPr>
        <w:t xml:space="preserve">Committee </w:t>
      </w:r>
      <w:r>
        <w:rPr>
          <w:sz w:val="24"/>
        </w:rPr>
        <w:t>membership unless otherwise authorised</w:t>
      </w:r>
      <w:r w:rsidR="00322A05">
        <w:rPr>
          <w:sz w:val="24"/>
        </w:rPr>
        <w:t xml:space="preserve"> by the Chair</w:t>
      </w:r>
      <w:r w:rsidR="00C23597">
        <w:rPr>
          <w:sz w:val="24"/>
        </w:rPr>
        <w:t>.</w:t>
      </w:r>
      <w:r w:rsidR="00D909F2">
        <w:rPr>
          <w:sz w:val="24"/>
        </w:rPr>
        <w:t xml:space="preserve"> </w:t>
      </w:r>
    </w:p>
    <w:p w14:paraId="30C8E2AC" w14:textId="3C8D0B1B" w:rsidR="00322A05" w:rsidRDefault="00864BFE" w:rsidP="00322A05">
      <w:pPr>
        <w:rPr>
          <w:b/>
          <w:sz w:val="32"/>
        </w:rPr>
      </w:pPr>
      <w:r>
        <w:rPr>
          <w:rStyle w:val="Hyperlink"/>
          <w:sz w:val="24"/>
        </w:rPr>
        <w:t xml:space="preserve">Confidentiality is treated in accordance with the </w:t>
      </w:r>
      <w:hyperlink r:id="rId10" w:history="1">
        <w:r w:rsidR="00322A05" w:rsidRPr="00052837">
          <w:rPr>
            <w:rStyle w:val="Hyperlink"/>
            <w:sz w:val="24"/>
          </w:rPr>
          <w:t>Governance Principles – Appointments Boards and Committees (March 2017)</w:t>
        </w:r>
      </w:hyperlink>
      <w:r>
        <w:rPr>
          <w:sz w:val="24"/>
        </w:rPr>
        <w:t xml:space="preserve"> and ACT Government </w:t>
      </w:r>
      <w:hyperlink r:id="rId11" w:history="1">
        <w:r w:rsidRPr="00864BFE">
          <w:rPr>
            <w:rStyle w:val="Hyperlink"/>
            <w:sz w:val="24"/>
          </w:rPr>
          <w:t>Code of Conduct</w:t>
        </w:r>
      </w:hyperlink>
      <w:r>
        <w:rPr>
          <w:sz w:val="24"/>
        </w:rPr>
        <w:t xml:space="preserve">. </w:t>
      </w:r>
    </w:p>
    <w:p w14:paraId="3D2E358B" w14:textId="77777777" w:rsidR="00322A05" w:rsidRPr="00241D0A" w:rsidRDefault="00322A05" w:rsidP="00FA56EB">
      <w:pPr>
        <w:rPr>
          <w:sz w:val="24"/>
        </w:rPr>
      </w:pPr>
    </w:p>
    <w:sectPr w:rsidR="00322A05" w:rsidRPr="00241D0A">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D540A" w16cid:durableId="21179A21"/>
  <w16cid:commentId w16cid:paraId="5B9D8EBF" w16cid:durableId="21113300"/>
  <w16cid:commentId w16cid:paraId="2C7FC217" w16cid:durableId="211768AF"/>
  <w16cid:commentId w16cid:paraId="0D6268DB" w16cid:durableId="211794AB"/>
  <w16cid:commentId w16cid:paraId="1AD41679" w16cid:durableId="2118AF6A"/>
  <w16cid:commentId w16cid:paraId="2AD44547" w16cid:durableId="21113512"/>
  <w16cid:commentId w16cid:paraId="261AD8B5" w16cid:durableId="211768B1"/>
  <w16cid:commentId w16cid:paraId="7A115A1F" w16cid:durableId="2118B421"/>
  <w16cid:commentId w16cid:paraId="0654AB5D" w16cid:durableId="2118B4DA"/>
  <w16cid:commentId w16cid:paraId="7847DFD2" w16cid:durableId="2118B543"/>
  <w16cid:commentId w16cid:paraId="0ABF828A" w16cid:durableId="21113552"/>
  <w16cid:commentId w16cid:paraId="07C36E0D" w16cid:durableId="211768B3"/>
  <w16cid:commentId w16cid:paraId="091C8A64" w16cid:durableId="21113660"/>
  <w16cid:commentId w16cid:paraId="3B13CC69" w16cid:durableId="211768B5"/>
  <w16cid:commentId w16cid:paraId="794C8EDC" w16cid:durableId="2118B61A"/>
  <w16cid:commentId w16cid:paraId="4D9422AF" w16cid:durableId="211136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9132" w14:textId="77777777" w:rsidR="000740AC" w:rsidRDefault="000740AC" w:rsidP="00AE487E">
      <w:pPr>
        <w:spacing w:after="0" w:line="240" w:lineRule="auto"/>
      </w:pPr>
      <w:r>
        <w:separator/>
      </w:r>
    </w:p>
  </w:endnote>
  <w:endnote w:type="continuationSeparator" w:id="0">
    <w:p w14:paraId="17D61F14" w14:textId="77777777" w:rsidR="000740AC" w:rsidRDefault="000740AC" w:rsidP="00AE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51337"/>
      <w:docPartObj>
        <w:docPartGallery w:val="Page Numbers (Bottom of Page)"/>
        <w:docPartUnique/>
      </w:docPartObj>
    </w:sdtPr>
    <w:sdtEndPr>
      <w:rPr>
        <w:noProof/>
      </w:rPr>
    </w:sdtEndPr>
    <w:sdtContent>
      <w:p w14:paraId="3F3F915E" w14:textId="77777777" w:rsidR="006C2B55" w:rsidRDefault="006C2B55">
        <w:pPr>
          <w:pStyle w:val="Footer"/>
          <w:jc w:val="right"/>
        </w:pPr>
        <w:r>
          <w:fldChar w:fldCharType="begin"/>
        </w:r>
        <w:r>
          <w:instrText xml:space="preserve"> PAGE   \* MERGEFORMAT </w:instrText>
        </w:r>
        <w:r>
          <w:fldChar w:fldCharType="separate"/>
        </w:r>
        <w:r w:rsidR="003E0017">
          <w:rPr>
            <w:noProof/>
          </w:rPr>
          <w:t>4</w:t>
        </w:r>
        <w:r>
          <w:rPr>
            <w:noProof/>
          </w:rPr>
          <w:fldChar w:fldCharType="end"/>
        </w:r>
      </w:p>
    </w:sdtContent>
  </w:sdt>
  <w:p w14:paraId="04B89E6A" w14:textId="77777777" w:rsidR="006C2B55" w:rsidRDefault="006C2B55">
    <w:pPr>
      <w:pStyle w:val="Footer"/>
    </w:pPr>
    <w:r>
      <w:t>Controlled Sports Advisory Committee – Terms of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9BDB" w14:textId="77777777" w:rsidR="000740AC" w:rsidRDefault="000740AC" w:rsidP="00AE487E">
      <w:pPr>
        <w:spacing w:after="0" w:line="240" w:lineRule="auto"/>
      </w:pPr>
      <w:r>
        <w:separator/>
      </w:r>
    </w:p>
  </w:footnote>
  <w:footnote w:type="continuationSeparator" w:id="0">
    <w:p w14:paraId="38FED5E9" w14:textId="77777777" w:rsidR="000740AC" w:rsidRDefault="000740AC" w:rsidP="00AE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9"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916"/>
    </w:tblGrid>
    <w:tr w:rsidR="00AE487E" w:rsidRPr="00E94DEF" w14:paraId="37A95505" w14:textId="77777777" w:rsidTr="001C2840">
      <w:trPr>
        <w:trHeight w:val="288"/>
      </w:trPr>
      <w:tc>
        <w:tcPr>
          <w:tcW w:w="9467" w:type="dxa"/>
          <w:tcBorders>
            <w:bottom w:val="single" w:sz="18" w:space="0" w:color="808080"/>
          </w:tcBorders>
        </w:tcPr>
        <w:p w14:paraId="56BF969A" w14:textId="77777777" w:rsidR="00AE487E" w:rsidRPr="00E94DEF" w:rsidRDefault="00AE487E" w:rsidP="00AE487E">
          <w:pPr>
            <w:pStyle w:val="Header"/>
            <w:jc w:val="right"/>
            <w:rPr>
              <w:b/>
              <w:sz w:val="36"/>
              <w:szCs w:val="36"/>
            </w:rPr>
          </w:pPr>
          <w:r>
            <w:rPr>
              <w:b/>
              <w:noProof/>
              <w:lang w:eastAsia="en-AU"/>
            </w:rPr>
            <w:drawing>
              <wp:anchor distT="0" distB="0" distL="114300" distR="114300" simplePos="0" relativeHeight="251659264" behindDoc="1" locked="0" layoutInCell="1" allowOverlap="1" wp14:anchorId="279EE865" wp14:editId="16464043">
                <wp:simplePos x="0" y="0"/>
                <wp:positionH relativeFrom="column">
                  <wp:posOffset>-106045</wp:posOffset>
                </wp:positionH>
                <wp:positionV relativeFrom="paragraph">
                  <wp:posOffset>-92075</wp:posOffset>
                </wp:positionV>
                <wp:extent cx="1762760" cy="899795"/>
                <wp:effectExtent l="0" t="0" r="8890" b="0"/>
                <wp:wrapNone/>
                <wp:docPr id="1" name="Picture 1" descr="ACTGov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inlin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Controlled Sports Advisory Committee</w:t>
          </w:r>
        </w:p>
        <w:p w14:paraId="0F016B90" w14:textId="77777777" w:rsidR="00AE487E" w:rsidRPr="00E94DEF" w:rsidRDefault="00AE487E" w:rsidP="00AE487E">
          <w:pPr>
            <w:pStyle w:val="Header"/>
            <w:jc w:val="right"/>
            <w:rPr>
              <w:b/>
              <w:sz w:val="36"/>
              <w:szCs w:val="36"/>
            </w:rPr>
          </w:pPr>
        </w:p>
        <w:p w14:paraId="44883014" w14:textId="77777777" w:rsidR="00AE487E" w:rsidRPr="00E94DEF" w:rsidRDefault="00AE487E" w:rsidP="00AE487E">
          <w:pPr>
            <w:pStyle w:val="Header"/>
            <w:jc w:val="right"/>
            <w:rPr>
              <w:rFonts w:ascii="Cambria" w:hAnsi="Cambria"/>
              <w:sz w:val="36"/>
              <w:szCs w:val="36"/>
            </w:rPr>
          </w:pPr>
          <w:r>
            <w:rPr>
              <w:b/>
              <w:sz w:val="36"/>
              <w:szCs w:val="36"/>
            </w:rPr>
            <w:t>Terms of Reference</w:t>
          </w:r>
        </w:p>
      </w:tc>
    </w:tr>
  </w:tbl>
  <w:p w14:paraId="762F6DEA" w14:textId="77777777" w:rsidR="00AE487E" w:rsidRDefault="00AE4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36A"/>
    <w:multiLevelType w:val="hybridMultilevel"/>
    <w:tmpl w:val="F748218C"/>
    <w:lvl w:ilvl="0" w:tplc="71565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B056E"/>
    <w:multiLevelType w:val="hybridMultilevel"/>
    <w:tmpl w:val="31BA0D98"/>
    <w:lvl w:ilvl="0" w:tplc="DFC8B7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F037D"/>
    <w:multiLevelType w:val="hybridMultilevel"/>
    <w:tmpl w:val="35D23CF8"/>
    <w:lvl w:ilvl="0" w:tplc="71565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57B6D"/>
    <w:multiLevelType w:val="hybridMultilevel"/>
    <w:tmpl w:val="B276FE3A"/>
    <w:lvl w:ilvl="0" w:tplc="71565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300B0E"/>
    <w:multiLevelType w:val="hybridMultilevel"/>
    <w:tmpl w:val="2FE25D2A"/>
    <w:lvl w:ilvl="0" w:tplc="71565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F847DE"/>
    <w:multiLevelType w:val="hybridMultilevel"/>
    <w:tmpl w:val="8A48977E"/>
    <w:lvl w:ilvl="0" w:tplc="71565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7E"/>
    <w:rsid w:val="000331CA"/>
    <w:rsid w:val="00051106"/>
    <w:rsid w:val="00052837"/>
    <w:rsid w:val="000569A4"/>
    <w:rsid w:val="000740AC"/>
    <w:rsid w:val="00081765"/>
    <w:rsid w:val="000A0256"/>
    <w:rsid w:val="000A7C5C"/>
    <w:rsid w:val="000B3CE2"/>
    <w:rsid w:val="000D3112"/>
    <w:rsid w:val="000D5D69"/>
    <w:rsid w:val="000D5D93"/>
    <w:rsid w:val="000D6BEE"/>
    <w:rsid w:val="000E4E57"/>
    <w:rsid w:val="001020FE"/>
    <w:rsid w:val="00117790"/>
    <w:rsid w:val="00136BFE"/>
    <w:rsid w:val="00141755"/>
    <w:rsid w:val="00141E57"/>
    <w:rsid w:val="00143429"/>
    <w:rsid w:val="00146296"/>
    <w:rsid w:val="00185371"/>
    <w:rsid w:val="001B46AA"/>
    <w:rsid w:val="001B56E6"/>
    <w:rsid w:val="001D06EB"/>
    <w:rsid w:val="001E3AF0"/>
    <w:rsid w:val="001F4F9F"/>
    <w:rsid w:val="00213292"/>
    <w:rsid w:val="00223B79"/>
    <w:rsid w:val="00241D0A"/>
    <w:rsid w:val="0024254D"/>
    <w:rsid w:val="00246C81"/>
    <w:rsid w:val="00247741"/>
    <w:rsid w:val="00254379"/>
    <w:rsid w:val="0026404B"/>
    <w:rsid w:val="002723C8"/>
    <w:rsid w:val="0027583B"/>
    <w:rsid w:val="002B472F"/>
    <w:rsid w:val="002C51C9"/>
    <w:rsid w:val="002F33FA"/>
    <w:rsid w:val="002F62F2"/>
    <w:rsid w:val="003015AC"/>
    <w:rsid w:val="003073E8"/>
    <w:rsid w:val="00322A05"/>
    <w:rsid w:val="00334670"/>
    <w:rsid w:val="00341F5B"/>
    <w:rsid w:val="003541FD"/>
    <w:rsid w:val="00354947"/>
    <w:rsid w:val="00372E83"/>
    <w:rsid w:val="00381F56"/>
    <w:rsid w:val="0038242A"/>
    <w:rsid w:val="00395B83"/>
    <w:rsid w:val="003A1979"/>
    <w:rsid w:val="003B320B"/>
    <w:rsid w:val="003C164F"/>
    <w:rsid w:val="003E0017"/>
    <w:rsid w:val="003E1DC7"/>
    <w:rsid w:val="003E2B4D"/>
    <w:rsid w:val="00420F4F"/>
    <w:rsid w:val="0042483C"/>
    <w:rsid w:val="00436E10"/>
    <w:rsid w:val="004370BF"/>
    <w:rsid w:val="004405A9"/>
    <w:rsid w:val="00460190"/>
    <w:rsid w:val="00464790"/>
    <w:rsid w:val="00481FD2"/>
    <w:rsid w:val="00482500"/>
    <w:rsid w:val="00497D18"/>
    <w:rsid w:val="004A5A2D"/>
    <w:rsid w:val="004A78EF"/>
    <w:rsid w:val="004B03DA"/>
    <w:rsid w:val="004E0B0A"/>
    <w:rsid w:val="004F5DE0"/>
    <w:rsid w:val="00514EAC"/>
    <w:rsid w:val="00516186"/>
    <w:rsid w:val="00532F0B"/>
    <w:rsid w:val="0054411B"/>
    <w:rsid w:val="00550D6C"/>
    <w:rsid w:val="00555463"/>
    <w:rsid w:val="0056038E"/>
    <w:rsid w:val="00573B02"/>
    <w:rsid w:val="00580E6E"/>
    <w:rsid w:val="00585045"/>
    <w:rsid w:val="005854F0"/>
    <w:rsid w:val="0058721D"/>
    <w:rsid w:val="00595FA8"/>
    <w:rsid w:val="005A601C"/>
    <w:rsid w:val="005C3649"/>
    <w:rsid w:val="005C7D64"/>
    <w:rsid w:val="005D4334"/>
    <w:rsid w:val="005D7E50"/>
    <w:rsid w:val="005F0720"/>
    <w:rsid w:val="00625D23"/>
    <w:rsid w:val="00636F41"/>
    <w:rsid w:val="00671213"/>
    <w:rsid w:val="006730C9"/>
    <w:rsid w:val="00697551"/>
    <w:rsid w:val="006C2B55"/>
    <w:rsid w:val="006C6F8E"/>
    <w:rsid w:val="006F3820"/>
    <w:rsid w:val="00702EF4"/>
    <w:rsid w:val="0070482F"/>
    <w:rsid w:val="007064D2"/>
    <w:rsid w:val="00706917"/>
    <w:rsid w:val="007118DC"/>
    <w:rsid w:val="0072158A"/>
    <w:rsid w:val="0075122E"/>
    <w:rsid w:val="0075387E"/>
    <w:rsid w:val="00756870"/>
    <w:rsid w:val="00792246"/>
    <w:rsid w:val="007D6B20"/>
    <w:rsid w:val="00801F3F"/>
    <w:rsid w:val="00807406"/>
    <w:rsid w:val="008320B5"/>
    <w:rsid w:val="008537BA"/>
    <w:rsid w:val="00864BFE"/>
    <w:rsid w:val="00870E2C"/>
    <w:rsid w:val="008728CC"/>
    <w:rsid w:val="0089770F"/>
    <w:rsid w:val="008D5A2C"/>
    <w:rsid w:val="008E0123"/>
    <w:rsid w:val="009147A5"/>
    <w:rsid w:val="00916A23"/>
    <w:rsid w:val="009404BD"/>
    <w:rsid w:val="009420C5"/>
    <w:rsid w:val="00942B67"/>
    <w:rsid w:val="00970534"/>
    <w:rsid w:val="00997285"/>
    <w:rsid w:val="009B0AE8"/>
    <w:rsid w:val="009B2A68"/>
    <w:rsid w:val="009C2E23"/>
    <w:rsid w:val="009C79DD"/>
    <w:rsid w:val="009F3766"/>
    <w:rsid w:val="00A02FB9"/>
    <w:rsid w:val="00A04413"/>
    <w:rsid w:val="00A07B62"/>
    <w:rsid w:val="00A10AB7"/>
    <w:rsid w:val="00A10E1D"/>
    <w:rsid w:val="00A169EE"/>
    <w:rsid w:val="00A247F6"/>
    <w:rsid w:val="00A26EDC"/>
    <w:rsid w:val="00A34DE8"/>
    <w:rsid w:val="00A4630D"/>
    <w:rsid w:val="00A46781"/>
    <w:rsid w:val="00A97358"/>
    <w:rsid w:val="00AC25F8"/>
    <w:rsid w:val="00AC595F"/>
    <w:rsid w:val="00AE0368"/>
    <w:rsid w:val="00AE487E"/>
    <w:rsid w:val="00B15D26"/>
    <w:rsid w:val="00B24414"/>
    <w:rsid w:val="00B522D2"/>
    <w:rsid w:val="00B52DAB"/>
    <w:rsid w:val="00B53078"/>
    <w:rsid w:val="00B61D56"/>
    <w:rsid w:val="00B634AC"/>
    <w:rsid w:val="00B67413"/>
    <w:rsid w:val="00B82C37"/>
    <w:rsid w:val="00B8678F"/>
    <w:rsid w:val="00B91A6F"/>
    <w:rsid w:val="00B95952"/>
    <w:rsid w:val="00BA6546"/>
    <w:rsid w:val="00BC387E"/>
    <w:rsid w:val="00BC5FC4"/>
    <w:rsid w:val="00BD040F"/>
    <w:rsid w:val="00BD4D1B"/>
    <w:rsid w:val="00BD6839"/>
    <w:rsid w:val="00BE5C52"/>
    <w:rsid w:val="00BE7A41"/>
    <w:rsid w:val="00C13A0C"/>
    <w:rsid w:val="00C16A5E"/>
    <w:rsid w:val="00C23597"/>
    <w:rsid w:val="00C27BAB"/>
    <w:rsid w:val="00C3184A"/>
    <w:rsid w:val="00C56F65"/>
    <w:rsid w:val="00C60B5D"/>
    <w:rsid w:val="00C7708E"/>
    <w:rsid w:val="00CA75C3"/>
    <w:rsid w:val="00CB73F2"/>
    <w:rsid w:val="00CC1069"/>
    <w:rsid w:val="00D0190D"/>
    <w:rsid w:val="00D13965"/>
    <w:rsid w:val="00D2024D"/>
    <w:rsid w:val="00D31225"/>
    <w:rsid w:val="00D436F2"/>
    <w:rsid w:val="00D6118B"/>
    <w:rsid w:val="00D909F2"/>
    <w:rsid w:val="00D94D64"/>
    <w:rsid w:val="00D953B8"/>
    <w:rsid w:val="00DB57BB"/>
    <w:rsid w:val="00DC27F9"/>
    <w:rsid w:val="00DD1BF2"/>
    <w:rsid w:val="00DE4CEE"/>
    <w:rsid w:val="00DE72B1"/>
    <w:rsid w:val="00E06890"/>
    <w:rsid w:val="00E12088"/>
    <w:rsid w:val="00E16227"/>
    <w:rsid w:val="00E3044A"/>
    <w:rsid w:val="00E5081A"/>
    <w:rsid w:val="00E71537"/>
    <w:rsid w:val="00E7301D"/>
    <w:rsid w:val="00EA1DB9"/>
    <w:rsid w:val="00EA4CEB"/>
    <w:rsid w:val="00ED27B2"/>
    <w:rsid w:val="00EE577F"/>
    <w:rsid w:val="00EF3186"/>
    <w:rsid w:val="00EF54C6"/>
    <w:rsid w:val="00F075C3"/>
    <w:rsid w:val="00F24CE3"/>
    <w:rsid w:val="00F36599"/>
    <w:rsid w:val="00F4385A"/>
    <w:rsid w:val="00F72A45"/>
    <w:rsid w:val="00F73A26"/>
    <w:rsid w:val="00F82211"/>
    <w:rsid w:val="00F84676"/>
    <w:rsid w:val="00FA56EB"/>
    <w:rsid w:val="00FA721E"/>
    <w:rsid w:val="00FB3EE5"/>
    <w:rsid w:val="00FC68F2"/>
    <w:rsid w:val="00FE0C5A"/>
    <w:rsid w:val="00FE24DA"/>
    <w:rsid w:val="00FF4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84ADA"/>
  <w15:chartTrackingRefBased/>
  <w15:docId w15:val="{54DB7137-9E27-4D72-B64A-9987DE02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7E"/>
  </w:style>
  <w:style w:type="paragraph" w:styleId="Footer">
    <w:name w:val="footer"/>
    <w:basedOn w:val="Normal"/>
    <w:link w:val="FooterChar"/>
    <w:uiPriority w:val="99"/>
    <w:unhideWhenUsed/>
    <w:rsid w:val="00AE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7E"/>
  </w:style>
  <w:style w:type="paragraph" w:styleId="ListParagraph">
    <w:name w:val="List Paragraph"/>
    <w:basedOn w:val="Normal"/>
    <w:uiPriority w:val="34"/>
    <w:qFormat/>
    <w:rsid w:val="00CA75C3"/>
    <w:pPr>
      <w:ind w:left="720"/>
      <w:contextualSpacing/>
    </w:pPr>
  </w:style>
  <w:style w:type="paragraph" w:styleId="BalloonText">
    <w:name w:val="Balloon Text"/>
    <w:basedOn w:val="Normal"/>
    <w:link w:val="BalloonTextChar"/>
    <w:uiPriority w:val="99"/>
    <w:semiHidden/>
    <w:unhideWhenUsed/>
    <w:rsid w:val="00CC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069"/>
    <w:rPr>
      <w:rFonts w:ascii="Segoe UI" w:hAnsi="Segoe UI" w:cs="Segoe UI"/>
      <w:sz w:val="18"/>
      <w:szCs w:val="18"/>
    </w:rPr>
  </w:style>
  <w:style w:type="table" w:styleId="TableGrid">
    <w:name w:val="Table Grid"/>
    <w:basedOn w:val="TableNormal"/>
    <w:uiPriority w:val="39"/>
    <w:rsid w:val="006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A56EB"/>
    <w:pPr>
      <w:spacing w:line="240" w:lineRule="auto"/>
    </w:pPr>
    <w:rPr>
      <w:sz w:val="20"/>
      <w:szCs w:val="20"/>
    </w:rPr>
  </w:style>
  <w:style w:type="character" w:customStyle="1" w:styleId="CommentTextChar">
    <w:name w:val="Comment Text Char"/>
    <w:basedOn w:val="DefaultParagraphFont"/>
    <w:link w:val="CommentText"/>
    <w:uiPriority w:val="99"/>
    <w:semiHidden/>
    <w:rsid w:val="00FA56EB"/>
    <w:rPr>
      <w:sz w:val="20"/>
      <w:szCs w:val="20"/>
    </w:rPr>
  </w:style>
  <w:style w:type="character" w:styleId="CommentReference">
    <w:name w:val="annotation reference"/>
    <w:basedOn w:val="DefaultParagraphFont"/>
    <w:uiPriority w:val="99"/>
    <w:semiHidden/>
    <w:unhideWhenUsed/>
    <w:rsid w:val="00FA56EB"/>
    <w:rPr>
      <w:sz w:val="16"/>
      <w:szCs w:val="16"/>
    </w:rPr>
  </w:style>
  <w:style w:type="character" w:styleId="Hyperlink">
    <w:name w:val="Hyperlink"/>
    <w:basedOn w:val="DefaultParagraphFont"/>
    <w:uiPriority w:val="99"/>
    <w:unhideWhenUsed/>
    <w:rsid w:val="0075122E"/>
    <w:rPr>
      <w:color w:val="0563C1" w:themeColor="hyperlink"/>
      <w:u w:val="single"/>
    </w:rPr>
  </w:style>
  <w:style w:type="character" w:customStyle="1" w:styleId="UnresolvedMention1">
    <w:name w:val="Unresolved Mention1"/>
    <w:basedOn w:val="DefaultParagraphFont"/>
    <w:uiPriority w:val="99"/>
    <w:semiHidden/>
    <w:unhideWhenUsed/>
    <w:rsid w:val="0075122E"/>
    <w:rPr>
      <w:color w:val="605E5C"/>
      <w:shd w:val="clear" w:color="auto" w:fill="E1DFDD"/>
    </w:rPr>
  </w:style>
  <w:style w:type="character" w:styleId="FollowedHyperlink">
    <w:name w:val="FollowedHyperlink"/>
    <w:basedOn w:val="DefaultParagraphFont"/>
    <w:uiPriority w:val="99"/>
    <w:semiHidden/>
    <w:unhideWhenUsed/>
    <w:rsid w:val="000E4E5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56F65"/>
    <w:rPr>
      <w:b/>
      <w:bCs/>
    </w:rPr>
  </w:style>
  <w:style w:type="character" w:customStyle="1" w:styleId="CommentSubjectChar">
    <w:name w:val="Comment Subject Char"/>
    <w:basedOn w:val="CommentTextChar"/>
    <w:link w:val="CommentSubject"/>
    <w:uiPriority w:val="99"/>
    <w:semiHidden/>
    <w:rsid w:val="00C56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act.gov.au/__data/assets/pdf_file/0017/363230/codeofcond2012_2013edit_wtabl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tedd.act.gov.au/__data/assets/pdf_file/0004/1045984/Governance-Principles-2017-FIN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d.act.gov.au/__data/assets/pdf_file/0017/363230/codeofcond2012_2013edit_wtabl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tedd.act.gov.au/__data/assets/pdf_file/0004/1045984/Governance-Principles-2017-FINAL.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cmtedd.act.gov.au/__data/assets/pdf_file/0014/1135022/CMTEDD-Conflict-of-Interest-Polic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Sean</dc:creator>
  <cp:keywords/>
  <dc:description/>
  <cp:lastModifiedBy>Connor, Tina</cp:lastModifiedBy>
  <cp:revision>3</cp:revision>
  <cp:lastPrinted>2019-03-18T04:07:00Z</cp:lastPrinted>
  <dcterms:created xsi:type="dcterms:W3CDTF">2019-09-05T00:35:00Z</dcterms:created>
  <dcterms:modified xsi:type="dcterms:W3CDTF">2019-09-12T03:38:00Z</dcterms:modified>
</cp:coreProperties>
</file>