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58973" w14:textId="77777777" w:rsidR="00F10CB2" w:rsidRDefault="00F10CB2">
      <w:pPr>
        <w:spacing w:before="120"/>
        <w:rPr>
          <w:rFonts w:ascii="Arial" w:hAnsi="Arial" w:cs="Arial"/>
        </w:rPr>
      </w:pPr>
      <w:bookmarkStart w:id="0" w:name="_Toc44738651"/>
      <w:r>
        <w:rPr>
          <w:rFonts w:ascii="Arial" w:hAnsi="Arial" w:cs="Arial"/>
        </w:rPr>
        <w:t>Australian Capital Territory</w:t>
      </w:r>
    </w:p>
    <w:p w14:paraId="0FC6F8E4" w14:textId="3727D0F7" w:rsidR="00F10CB2" w:rsidRDefault="008550EB">
      <w:pPr>
        <w:pStyle w:val="Billname"/>
        <w:spacing w:before="700"/>
      </w:pPr>
      <w:r>
        <w:t>Controlled Sports</w:t>
      </w:r>
      <w:r w:rsidR="00392C62">
        <w:t xml:space="preserve"> </w:t>
      </w:r>
      <w:r w:rsidR="007937B4">
        <w:t>Code of Practice</w:t>
      </w:r>
      <w:r w:rsidR="00F10CB2">
        <w:t xml:space="preserve"> </w:t>
      </w:r>
      <w:r w:rsidR="007937B4">
        <w:t>201</w:t>
      </w:r>
      <w:r>
        <w:t>9</w:t>
      </w:r>
      <w:r w:rsidR="00233335">
        <w:t xml:space="preserve"> (No 1)</w:t>
      </w:r>
    </w:p>
    <w:p w14:paraId="5F46FCE5" w14:textId="4533D378" w:rsidR="00CB16BE" w:rsidRPr="00CB16BE" w:rsidRDefault="00F10CB2" w:rsidP="00D47F13">
      <w:pPr>
        <w:spacing w:before="340"/>
        <w:rPr>
          <w:rFonts w:ascii="Arial" w:hAnsi="Arial" w:cs="Arial"/>
          <w:b/>
          <w:bCs/>
          <w:iCs/>
        </w:rPr>
      </w:pPr>
      <w:r>
        <w:rPr>
          <w:rFonts w:ascii="Arial" w:hAnsi="Arial" w:cs="Arial"/>
          <w:b/>
          <w:bCs/>
        </w:rPr>
        <w:t>Disallowable instrument DI</w:t>
      </w:r>
      <w:r w:rsidR="00AA3426">
        <w:rPr>
          <w:rFonts w:ascii="Arial" w:hAnsi="Arial" w:cs="Arial"/>
          <w:b/>
          <w:bCs/>
          <w:iCs/>
        </w:rPr>
        <w:t>201</w:t>
      </w:r>
      <w:r w:rsidR="008550EB">
        <w:rPr>
          <w:rFonts w:ascii="Arial" w:hAnsi="Arial" w:cs="Arial"/>
          <w:b/>
          <w:bCs/>
          <w:iCs/>
        </w:rPr>
        <w:t>9</w:t>
      </w:r>
      <w:r w:rsidR="00AA3426">
        <w:rPr>
          <w:rFonts w:ascii="Arial" w:hAnsi="Arial" w:cs="Arial"/>
          <w:b/>
          <w:bCs/>
          <w:iCs/>
        </w:rPr>
        <w:t>-</w:t>
      </w:r>
    </w:p>
    <w:p w14:paraId="4160D4A1" w14:textId="77777777" w:rsidR="00F10CB2" w:rsidRPr="007937B4" w:rsidRDefault="00F10CB2" w:rsidP="00CD4E55">
      <w:pPr>
        <w:pStyle w:val="madeunder"/>
        <w:spacing w:before="300" w:after="0"/>
        <w:rPr>
          <w:i/>
        </w:rPr>
      </w:pPr>
      <w:r>
        <w:t xml:space="preserve">made under the </w:t>
      </w:r>
    </w:p>
    <w:p w14:paraId="3AC9EC7F" w14:textId="2D55FE25" w:rsidR="00F10CB2" w:rsidRDefault="008550EB" w:rsidP="00CD4E55">
      <w:pPr>
        <w:pStyle w:val="CoverActName"/>
        <w:spacing w:before="320" w:after="0"/>
        <w:rPr>
          <w:rFonts w:cs="Arial"/>
          <w:sz w:val="20"/>
        </w:rPr>
      </w:pPr>
      <w:r>
        <w:rPr>
          <w:rFonts w:cs="Arial"/>
          <w:i/>
          <w:sz w:val="20"/>
        </w:rPr>
        <w:t>Controlled Sports Act 201</w:t>
      </w:r>
      <w:r w:rsidR="003C37DC">
        <w:rPr>
          <w:rFonts w:cs="Arial"/>
          <w:i/>
          <w:sz w:val="20"/>
        </w:rPr>
        <w:t>9</w:t>
      </w:r>
      <w:r w:rsidR="00F10CB2">
        <w:rPr>
          <w:rFonts w:cs="Arial"/>
          <w:sz w:val="20"/>
        </w:rPr>
        <w:t xml:space="preserve">, </w:t>
      </w:r>
      <w:r w:rsidR="00AA3426">
        <w:rPr>
          <w:rFonts w:cs="Arial"/>
          <w:sz w:val="20"/>
        </w:rPr>
        <w:t>s</w:t>
      </w:r>
      <w:r w:rsidR="007937B4">
        <w:rPr>
          <w:rFonts w:cs="Arial"/>
          <w:sz w:val="20"/>
        </w:rPr>
        <w:t xml:space="preserve"> </w:t>
      </w:r>
      <w:r>
        <w:rPr>
          <w:rFonts w:cs="Arial"/>
          <w:sz w:val="20"/>
        </w:rPr>
        <w:t>4</w:t>
      </w:r>
      <w:r w:rsidR="003C37DC">
        <w:rPr>
          <w:rFonts w:cs="Arial"/>
          <w:sz w:val="20"/>
        </w:rPr>
        <w:t>9</w:t>
      </w:r>
      <w:r w:rsidR="00F10CB2">
        <w:rPr>
          <w:rFonts w:cs="Arial"/>
          <w:sz w:val="20"/>
        </w:rPr>
        <w:t xml:space="preserve"> (</w:t>
      </w:r>
      <w:r w:rsidR="007937B4">
        <w:rPr>
          <w:rFonts w:cs="Arial"/>
          <w:sz w:val="20"/>
        </w:rPr>
        <w:t xml:space="preserve">Code of </w:t>
      </w:r>
      <w:r w:rsidR="00AA3426">
        <w:rPr>
          <w:rFonts w:cs="Arial"/>
          <w:sz w:val="20"/>
        </w:rPr>
        <w:t>p</w:t>
      </w:r>
      <w:r w:rsidR="007937B4">
        <w:rPr>
          <w:rFonts w:cs="Arial"/>
          <w:sz w:val="20"/>
        </w:rPr>
        <w:t>ractice</w:t>
      </w:r>
      <w:r>
        <w:rPr>
          <w:rFonts w:cs="Arial"/>
          <w:sz w:val="20"/>
        </w:rPr>
        <w:t xml:space="preserve"> – approval</w:t>
      </w:r>
      <w:r w:rsidR="007937B4">
        <w:rPr>
          <w:rFonts w:cs="Arial"/>
          <w:sz w:val="20"/>
        </w:rPr>
        <w:t xml:space="preserve">) </w:t>
      </w:r>
    </w:p>
    <w:p w14:paraId="6F828CF7" w14:textId="77777777" w:rsidR="00F10CB2" w:rsidRDefault="00F10CB2" w:rsidP="00CD4E55">
      <w:pPr>
        <w:pStyle w:val="N-line3"/>
        <w:pBdr>
          <w:bottom w:val="none" w:sz="0" w:space="0" w:color="auto"/>
        </w:pBdr>
        <w:spacing w:before="60"/>
      </w:pPr>
    </w:p>
    <w:p w14:paraId="7E66CED8" w14:textId="77777777" w:rsidR="00F10CB2" w:rsidRDefault="00F10CB2">
      <w:pPr>
        <w:pStyle w:val="N-line3"/>
        <w:pBdr>
          <w:top w:val="single" w:sz="12" w:space="1" w:color="auto"/>
          <w:bottom w:val="none" w:sz="0" w:space="0" w:color="auto"/>
        </w:pBdr>
      </w:pPr>
    </w:p>
    <w:p w14:paraId="491A430F"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0F8B6367" w14:textId="57039F24" w:rsidR="00F10CB2" w:rsidRDefault="00F10CB2" w:rsidP="00D47F13">
      <w:pPr>
        <w:spacing w:before="140"/>
        <w:ind w:left="720"/>
      </w:pPr>
      <w:r>
        <w:t xml:space="preserve">This instrument is the </w:t>
      </w:r>
      <w:r w:rsidR="008550EB">
        <w:rPr>
          <w:i/>
        </w:rPr>
        <w:t xml:space="preserve">Controlled Sports Code of Practice </w:t>
      </w:r>
      <w:r w:rsidR="007937B4" w:rsidRPr="00E51F6E">
        <w:rPr>
          <w:i/>
        </w:rPr>
        <w:t>201</w:t>
      </w:r>
      <w:r w:rsidR="008550EB">
        <w:rPr>
          <w:i/>
        </w:rPr>
        <w:t>9</w:t>
      </w:r>
      <w:r w:rsidR="003C37DC">
        <w:rPr>
          <w:i/>
        </w:rPr>
        <w:t xml:space="preserve"> (No. 1)</w:t>
      </w:r>
      <w:r w:rsidR="007937B4">
        <w:t xml:space="preserve">. </w:t>
      </w:r>
    </w:p>
    <w:p w14:paraId="71712ECC"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3F1FE212" w14:textId="36FC21EB" w:rsidR="00F10CB2" w:rsidRPr="00594EB2" w:rsidRDefault="00F10CB2" w:rsidP="00594EB2">
      <w:pPr>
        <w:spacing w:before="140"/>
        <w:ind w:left="720"/>
      </w:pPr>
      <w:r>
        <w:t>This instrument commences on</w:t>
      </w:r>
      <w:r w:rsidR="007937B4">
        <w:t xml:space="preserve"> </w:t>
      </w:r>
      <w:r w:rsidR="003C37DC">
        <w:t>&lt;date&gt;</w:t>
      </w:r>
      <w:r w:rsidR="00C2329C">
        <w:t xml:space="preserve"> 2019</w:t>
      </w:r>
      <w:r>
        <w:t>.</w:t>
      </w:r>
      <w:r w:rsidR="00DD0504">
        <w:br/>
      </w:r>
      <w:r>
        <w:t xml:space="preserve"> </w:t>
      </w:r>
    </w:p>
    <w:p w14:paraId="4530B0A5" w14:textId="795399DB" w:rsidR="000E385F" w:rsidRDefault="00E70FBE" w:rsidP="00D47F13">
      <w:pPr>
        <w:spacing w:before="300"/>
        <w:ind w:left="720" w:hanging="720"/>
        <w:rPr>
          <w:rFonts w:ascii="Arial" w:hAnsi="Arial" w:cs="Arial"/>
          <w:b/>
          <w:bCs/>
        </w:rPr>
      </w:pPr>
      <w:r>
        <w:rPr>
          <w:rFonts w:ascii="Arial" w:hAnsi="Arial" w:cs="Arial"/>
          <w:b/>
          <w:bCs/>
        </w:rPr>
        <w:t>3</w:t>
      </w:r>
      <w:r w:rsidR="00F10CB2">
        <w:rPr>
          <w:rFonts w:ascii="Arial" w:hAnsi="Arial" w:cs="Arial"/>
          <w:b/>
          <w:bCs/>
        </w:rPr>
        <w:tab/>
      </w:r>
      <w:r w:rsidR="00731FF0">
        <w:rPr>
          <w:rFonts w:ascii="Arial" w:hAnsi="Arial" w:cs="Arial"/>
          <w:b/>
          <w:bCs/>
        </w:rPr>
        <w:t xml:space="preserve">Code of Practice </w:t>
      </w:r>
    </w:p>
    <w:p w14:paraId="77F57730" w14:textId="2B1EB45D" w:rsidR="00F10CB2" w:rsidRDefault="000E385F" w:rsidP="00D47F13">
      <w:pPr>
        <w:spacing w:before="300"/>
        <w:ind w:left="720" w:hanging="720"/>
        <w:rPr>
          <w:rFonts w:ascii="Arial" w:hAnsi="Arial" w:cs="Arial"/>
          <w:b/>
          <w:bCs/>
        </w:rPr>
      </w:pPr>
      <w:r>
        <w:rPr>
          <w:rFonts w:ascii="Arial" w:hAnsi="Arial" w:cs="Arial"/>
          <w:b/>
          <w:bCs/>
        </w:rPr>
        <w:tab/>
      </w:r>
      <w:r>
        <w:t xml:space="preserve">I approve the </w:t>
      </w:r>
      <w:r w:rsidR="008550EB">
        <w:t xml:space="preserve">Controlled Sports </w:t>
      </w:r>
      <w:r>
        <w:t>Code of Practice</w:t>
      </w:r>
      <w:r w:rsidR="008550EB">
        <w:t xml:space="preserve"> 2019</w:t>
      </w:r>
      <w:r>
        <w:t xml:space="preserve"> </w:t>
      </w:r>
      <w:r w:rsidR="003C37DC">
        <w:t xml:space="preserve">No. 1 </w:t>
      </w:r>
      <w:r>
        <w:t>in the schedule</w:t>
      </w:r>
      <w:r w:rsidR="00D507C5">
        <w:t>s</w:t>
      </w:r>
      <w:r>
        <w:t>.</w:t>
      </w:r>
    </w:p>
    <w:p w14:paraId="50B62C2F" w14:textId="54C0DA5E" w:rsidR="000E385F" w:rsidRDefault="000E385F" w:rsidP="008550EB">
      <w:pPr>
        <w:spacing w:before="300"/>
        <w:ind w:left="720" w:hanging="720"/>
      </w:pPr>
    </w:p>
    <w:p w14:paraId="77C9DAC4" w14:textId="77777777" w:rsidR="000E385F" w:rsidRDefault="000E385F" w:rsidP="00D47F13">
      <w:pPr>
        <w:spacing w:before="140"/>
        <w:ind w:left="720"/>
      </w:pPr>
    </w:p>
    <w:p w14:paraId="15DA8D4A" w14:textId="77777777" w:rsidR="00E70FBE" w:rsidRDefault="00E70FBE" w:rsidP="00E70FBE">
      <w:pPr>
        <w:spacing w:before="300"/>
        <w:ind w:left="720" w:hanging="720"/>
        <w:rPr>
          <w:rFonts w:ascii="Arial" w:hAnsi="Arial" w:cs="Arial"/>
          <w:b/>
          <w:bCs/>
        </w:rPr>
      </w:pPr>
    </w:p>
    <w:p w14:paraId="6B958E82" w14:textId="77777777" w:rsidR="005B5A5A" w:rsidRDefault="005B5A5A" w:rsidP="00E70FBE">
      <w:pPr>
        <w:spacing w:before="300"/>
        <w:ind w:left="720" w:hanging="720"/>
        <w:rPr>
          <w:rFonts w:ascii="Arial" w:hAnsi="Arial" w:cs="Arial"/>
          <w:b/>
          <w:bCs/>
        </w:rPr>
      </w:pPr>
    </w:p>
    <w:p w14:paraId="6388F255" w14:textId="77777777" w:rsidR="005B5A5A" w:rsidRDefault="005B5A5A" w:rsidP="00E70FBE">
      <w:pPr>
        <w:spacing w:before="300"/>
        <w:ind w:left="720" w:hanging="720"/>
        <w:rPr>
          <w:rFonts w:ascii="Arial" w:hAnsi="Arial" w:cs="Arial"/>
          <w:b/>
          <w:bCs/>
        </w:rPr>
      </w:pPr>
    </w:p>
    <w:p w14:paraId="17C5904E" w14:textId="77777777" w:rsidR="005B5A5A" w:rsidRPr="00A30BE2" w:rsidRDefault="005B5A5A" w:rsidP="00E70FBE">
      <w:pPr>
        <w:spacing w:before="300"/>
        <w:ind w:left="720" w:hanging="720"/>
        <w:rPr>
          <w:rFonts w:ascii="Arial" w:hAnsi="Arial" w:cs="Arial"/>
          <w:b/>
          <w:bCs/>
        </w:rPr>
      </w:pPr>
    </w:p>
    <w:p w14:paraId="7C6AFB90" w14:textId="77777777" w:rsidR="00E70FBE" w:rsidRDefault="00E70FBE" w:rsidP="00E70FBE">
      <w:pPr>
        <w:spacing w:before="300"/>
        <w:ind w:left="720" w:hanging="720"/>
      </w:pPr>
      <w:r w:rsidRPr="00A30BE2">
        <w:rPr>
          <w:bCs/>
        </w:rPr>
        <w:t>Yvette Berry</w:t>
      </w:r>
      <w:r>
        <w:t xml:space="preserve"> MLA </w:t>
      </w:r>
    </w:p>
    <w:p w14:paraId="2F41BF8C" w14:textId="77777777" w:rsidR="00E70FBE" w:rsidRDefault="00E70FBE" w:rsidP="00E70FBE">
      <w:pPr>
        <w:tabs>
          <w:tab w:val="left" w:pos="4320"/>
        </w:tabs>
      </w:pPr>
      <w:r>
        <w:t xml:space="preserve">Minister for Sport and Recreation </w:t>
      </w:r>
    </w:p>
    <w:p w14:paraId="113DC99E" w14:textId="77777777" w:rsidR="005B5A5A" w:rsidRDefault="005B5A5A" w:rsidP="00E70FBE">
      <w:pPr>
        <w:tabs>
          <w:tab w:val="left" w:pos="4320"/>
        </w:tabs>
      </w:pPr>
    </w:p>
    <w:p w14:paraId="085E17A2" w14:textId="4B07495E" w:rsidR="00E70FBE" w:rsidRDefault="005B5A5A" w:rsidP="00E70FBE">
      <w:pPr>
        <w:tabs>
          <w:tab w:val="left" w:pos="4320"/>
        </w:tabs>
      </w:pPr>
      <w:r>
        <w:t xml:space="preserve">                                 201</w:t>
      </w:r>
      <w:r w:rsidR="008550EB">
        <w:t>9</w:t>
      </w:r>
      <w:r>
        <w:t xml:space="preserve"> </w:t>
      </w:r>
    </w:p>
    <w:p w14:paraId="1CBD570E" w14:textId="77777777" w:rsidR="000E385F" w:rsidRDefault="000E385F" w:rsidP="00D47F13">
      <w:pPr>
        <w:spacing w:before="140"/>
        <w:ind w:left="720"/>
      </w:pPr>
    </w:p>
    <w:p w14:paraId="26C16637" w14:textId="77777777" w:rsidR="000E385F" w:rsidRDefault="000E385F">
      <w:r>
        <w:br w:type="page"/>
      </w:r>
    </w:p>
    <w:p w14:paraId="647B134F" w14:textId="129586D4" w:rsidR="00E70FBE" w:rsidRDefault="00E70FBE">
      <w:r>
        <w:rPr>
          <w:rFonts w:ascii="Arial" w:hAnsi="Arial" w:cs="Arial"/>
          <w:b/>
          <w:bCs/>
        </w:rPr>
        <w:lastRenderedPageBreak/>
        <w:t>Schedule</w:t>
      </w:r>
      <w:r w:rsidR="00C1181F">
        <w:rPr>
          <w:rFonts w:ascii="Arial" w:hAnsi="Arial" w:cs="Arial"/>
          <w:b/>
          <w:bCs/>
        </w:rPr>
        <w:t xml:space="preserve"> 1 </w:t>
      </w:r>
    </w:p>
    <w:p w14:paraId="112F1DC4" w14:textId="77777777" w:rsidR="00E70FBE" w:rsidRDefault="00E70FBE"/>
    <w:p w14:paraId="5795A69E" w14:textId="35779E98" w:rsidR="00E70FBE" w:rsidRPr="00594EB2" w:rsidRDefault="008550EB" w:rsidP="00594EB2">
      <w:pPr>
        <w:jc w:val="center"/>
        <w:rPr>
          <w:b/>
          <w:sz w:val="32"/>
          <w:szCs w:val="32"/>
        </w:rPr>
      </w:pPr>
      <w:r>
        <w:rPr>
          <w:b/>
          <w:sz w:val="32"/>
          <w:szCs w:val="32"/>
        </w:rPr>
        <w:t xml:space="preserve">Controlled Sports </w:t>
      </w:r>
      <w:r w:rsidR="00E70FBE" w:rsidRPr="00594EB2">
        <w:rPr>
          <w:b/>
          <w:sz w:val="32"/>
          <w:szCs w:val="32"/>
        </w:rPr>
        <w:t xml:space="preserve">Code of </w:t>
      </w:r>
      <w:r>
        <w:rPr>
          <w:b/>
          <w:sz w:val="32"/>
          <w:szCs w:val="32"/>
        </w:rPr>
        <w:t>Practice</w:t>
      </w:r>
    </w:p>
    <w:p w14:paraId="1EB7F9C3" w14:textId="77777777" w:rsidR="00C1181F" w:rsidRDefault="00C1181F" w:rsidP="00C1181F">
      <w:pPr>
        <w:pStyle w:val="ScheduleHeading1"/>
      </w:pPr>
    </w:p>
    <w:p w14:paraId="2203F348" w14:textId="0C98CA54" w:rsidR="00C1181F" w:rsidRPr="00C1181F" w:rsidRDefault="00C1181F" w:rsidP="0058686E">
      <w:pPr>
        <w:pStyle w:val="ScheduleHeading1"/>
        <w:pBdr>
          <w:top w:val="single" w:sz="4" w:space="1" w:color="auto"/>
          <w:left w:val="single" w:sz="4" w:space="4" w:color="auto"/>
          <w:bottom w:val="single" w:sz="4" w:space="1" w:color="auto"/>
          <w:right w:val="single" w:sz="4" w:space="4" w:color="auto"/>
        </w:pBdr>
        <w:shd w:val="clear" w:color="auto" w:fill="B8CCE4" w:themeFill="accent1" w:themeFillTint="66"/>
      </w:pPr>
      <w:r w:rsidRPr="00B40F65">
        <w:t xml:space="preserve">Matters </w:t>
      </w:r>
      <w:r>
        <w:t>relating</w:t>
      </w:r>
      <w:r w:rsidRPr="00B40F65">
        <w:t xml:space="preserve"> to </w:t>
      </w:r>
      <w:r w:rsidRPr="00997737">
        <w:rPr>
          <w:i/>
        </w:rPr>
        <w:t>regist</w:t>
      </w:r>
      <w:r>
        <w:rPr>
          <w:i/>
        </w:rPr>
        <w:t>rable</w:t>
      </w:r>
      <w:r w:rsidRPr="00997737">
        <w:rPr>
          <w:i/>
        </w:rPr>
        <w:t xml:space="preserve"> </w:t>
      </w:r>
      <w:r w:rsidRPr="00C1181F">
        <w:t>events</w:t>
      </w:r>
    </w:p>
    <w:p w14:paraId="0D094967" w14:textId="77777777" w:rsidR="00FC1854" w:rsidRDefault="00FC1854" w:rsidP="009133D2">
      <w:pPr>
        <w:rPr>
          <w:b/>
        </w:rPr>
      </w:pPr>
    </w:p>
    <w:p w14:paraId="765E7A6E" w14:textId="6AFC4EEC" w:rsidR="00356A84" w:rsidRDefault="00356A84" w:rsidP="00356A84">
      <w:pPr>
        <w:shd w:val="clear" w:color="auto" w:fill="DBE5F1" w:themeFill="accent1" w:themeFillTint="33"/>
        <w:rPr>
          <w:b/>
        </w:rPr>
      </w:pPr>
      <w:r>
        <w:rPr>
          <w:b/>
        </w:rPr>
        <w:t>Applications for Registrable Events</w:t>
      </w:r>
    </w:p>
    <w:p w14:paraId="6C6CB595" w14:textId="304B58F0" w:rsidR="00356A84" w:rsidRDefault="00356A84" w:rsidP="00000ACF">
      <w:pPr>
        <w:pStyle w:val="ListParagraph"/>
        <w:numPr>
          <w:ilvl w:val="0"/>
          <w:numId w:val="22"/>
        </w:numPr>
      </w:pPr>
      <w:r w:rsidRPr="001C3F93">
        <w:t xml:space="preserve">Applications to hold a </w:t>
      </w:r>
      <w:r>
        <w:t xml:space="preserve">registrable controlled sports event </w:t>
      </w:r>
      <w:r w:rsidRPr="001C3F93">
        <w:t xml:space="preserve">in the ACT must be lodged </w:t>
      </w:r>
      <w:r w:rsidR="000E1BA8">
        <w:t>with the ACT Registrar for Controlled Sports</w:t>
      </w:r>
      <w:r w:rsidR="000E1BA8" w:rsidRPr="001C3F93">
        <w:t xml:space="preserve"> </w:t>
      </w:r>
      <w:r w:rsidRPr="001C3F93">
        <w:t xml:space="preserve">at least 28 days prior to the proposed </w:t>
      </w:r>
      <w:r>
        <w:t>event with all supporting documentation, including a draft draw</w:t>
      </w:r>
      <w:r w:rsidR="00447164">
        <w:t xml:space="preserve"> (including substitute contestants)</w:t>
      </w:r>
      <w:r w:rsidR="00817916">
        <w:t xml:space="preserve">, </w:t>
      </w:r>
      <w:r w:rsidRPr="005B5A5A">
        <w:t xml:space="preserve">unless prior agreement has been made with the </w:t>
      </w:r>
      <w:r w:rsidR="000E1BA8">
        <w:t>ACT Registrar for Controlled Sports or their representative</w:t>
      </w:r>
      <w:r w:rsidRPr="005B5A5A">
        <w:t xml:space="preserve">. </w:t>
      </w:r>
    </w:p>
    <w:p w14:paraId="2225FDDB" w14:textId="77777777" w:rsidR="00356A84" w:rsidRDefault="00356A84" w:rsidP="00356A84">
      <w:pPr>
        <w:pStyle w:val="ListParagraph"/>
        <w:ind w:left="360"/>
      </w:pPr>
    </w:p>
    <w:p w14:paraId="15EF7A86" w14:textId="217F0D17" w:rsidR="00356A84" w:rsidRDefault="00356A84" w:rsidP="00000ACF">
      <w:pPr>
        <w:pStyle w:val="ListParagraph"/>
        <w:numPr>
          <w:ilvl w:val="0"/>
          <w:numId w:val="22"/>
        </w:numPr>
      </w:pPr>
      <w:r w:rsidRPr="005B5A5A">
        <w:t>Payment of the pre</w:t>
      </w:r>
      <w:r>
        <w:t xml:space="preserve">-determined fee/s </w:t>
      </w:r>
      <w:r w:rsidRPr="001C3F93">
        <w:t xml:space="preserve">must accompany the application. </w:t>
      </w:r>
    </w:p>
    <w:p w14:paraId="1F3C1177" w14:textId="77777777" w:rsidR="00356A84" w:rsidRDefault="00356A84" w:rsidP="00000ACF">
      <w:pPr>
        <w:pStyle w:val="ListParagraph"/>
      </w:pPr>
    </w:p>
    <w:p w14:paraId="53B6A83E" w14:textId="24D50334" w:rsidR="00356A84" w:rsidRDefault="00356A84" w:rsidP="00000ACF">
      <w:pPr>
        <w:pStyle w:val="ListParagraph"/>
        <w:numPr>
          <w:ilvl w:val="0"/>
          <w:numId w:val="22"/>
        </w:numPr>
      </w:pPr>
      <w:r>
        <w:t xml:space="preserve">The finalised draw listing the contestants, the contest information including the disciplines/ to be contested, and rounds must be submitted at least five (5) business days prior to the commencement of the first contest, unless prior agreement has been made with the </w:t>
      </w:r>
      <w:r w:rsidR="00771B8D">
        <w:t>ACT Registrar for Controlled Sports or their representative</w:t>
      </w:r>
      <w:r>
        <w:t xml:space="preserve">. </w:t>
      </w:r>
    </w:p>
    <w:p w14:paraId="268E2D5E" w14:textId="77777777" w:rsidR="00356A84" w:rsidRDefault="00356A84" w:rsidP="00000ACF">
      <w:pPr>
        <w:pStyle w:val="ListParagraph"/>
      </w:pPr>
    </w:p>
    <w:p w14:paraId="5E76D134" w14:textId="5131109B" w:rsidR="00356A84" w:rsidRDefault="00356A84" w:rsidP="00000ACF">
      <w:pPr>
        <w:pStyle w:val="ListParagraph"/>
        <w:numPr>
          <w:ilvl w:val="0"/>
          <w:numId w:val="22"/>
        </w:numPr>
      </w:pPr>
      <w:r>
        <w:t>Any approval granted</w:t>
      </w:r>
      <w:r w:rsidR="00817916">
        <w:t xml:space="preserve"> under Section 35 of the Act </w:t>
      </w:r>
      <w:r>
        <w:t xml:space="preserve">only covers the contestants that are listed on the draw as notified to, and approved by, the </w:t>
      </w:r>
      <w:r w:rsidR="00771B8D">
        <w:t>ACT Registrar for Controlled Sports</w:t>
      </w:r>
      <w:r>
        <w:t xml:space="preserve">.  </w:t>
      </w:r>
    </w:p>
    <w:p w14:paraId="11F9B1B5" w14:textId="77777777" w:rsidR="00356A84" w:rsidRDefault="00356A84" w:rsidP="00000ACF">
      <w:pPr>
        <w:pStyle w:val="ListParagraph"/>
      </w:pPr>
    </w:p>
    <w:p w14:paraId="5ADE01D8" w14:textId="202D8361" w:rsidR="00356A84" w:rsidRDefault="00817916" w:rsidP="00000ACF">
      <w:pPr>
        <w:pStyle w:val="ListParagraph"/>
        <w:numPr>
          <w:ilvl w:val="0"/>
          <w:numId w:val="22"/>
        </w:numPr>
      </w:pPr>
      <w:r>
        <w:t>The promoter must</w:t>
      </w:r>
      <w:r w:rsidR="00356A84">
        <w:t xml:space="preserve"> ensure that only contestants that are listed on the final approved draw compete in the event. </w:t>
      </w:r>
    </w:p>
    <w:p w14:paraId="1D309992" w14:textId="77777777" w:rsidR="00817916" w:rsidRDefault="00817916" w:rsidP="00000ACF">
      <w:pPr>
        <w:pStyle w:val="ListParagraph"/>
      </w:pPr>
    </w:p>
    <w:p w14:paraId="0D15ECF8" w14:textId="6FF1ABE6" w:rsidR="00817916" w:rsidRDefault="00817916" w:rsidP="00000ACF">
      <w:pPr>
        <w:pStyle w:val="ListParagraph"/>
        <w:numPr>
          <w:ilvl w:val="0"/>
          <w:numId w:val="22"/>
        </w:numPr>
      </w:pPr>
      <w:r>
        <w:t xml:space="preserve">Contestants must ensure that they are approved and listed on the final draw in order to compete in the event. </w:t>
      </w:r>
    </w:p>
    <w:p w14:paraId="51F20B11" w14:textId="77777777" w:rsidR="00E85761" w:rsidRDefault="00E85761" w:rsidP="00000ACF">
      <w:pPr>
        <w:pStyle w:val="ListParagraph"/>
      </w:pPr>
    </w:p>
    <w:p w14:paraId="2642F430" w14:textId="10D5E42F" w:rsidR="009133D2" w:rsidRPr="00997737" w:rsidRDefault="00862C93" w:rsidP="007A6D8E">
      <w:pPr>
        <w:shd w:val="clear" w:color="auto" w:fill="DBE5F1" w:themeFill="accent1" w:themeFillTint="33"/>
        <w:rPr>
          <w:b/>
        </w:rPr>
      </w:pPr>
      <w:r>
        <w:rPr>
          <w:b/>
        </w:rPr>
        <w:t xml:space="preserve">Contest Rules </w:t>
      </w:r>
    </w:p>
    <w:p w14:paraId="6976CA3B" w14:textId="0F36A7A0" w:rsidR="009133D2" w:rsidRDefault="009133D2" w:rsidP="00000ACF">
      <w:pPr>
        <w:pStyle w:val="ListParagraph"/>
        <w:numPr>
          <w:ilvl w:val="0"/>
          <w:numId w:val="22"/>
        </w:numPr>
      </w:pPr>
      <w:r>
        <w:t>Regist</w:t>
      </w:r>
      <w:r w:rsidR="0058686E">
        <w:t>rable</w:t>
      </w:r>
      <w:r>
        <w:t xml:space="preserve"> controlled sports events </w:t>
      </w:r>
      <w:r w:rsidRPr="009133D2">
        <w:t>may only be conducted in accordance with the rules s</w:t>
      </w:r>
      <w:r w:rsidR="00862C93">
        <w:t>pecified in the approval to register the event under S</w:t>
      </w:r>
      <w:r w:rsidRPr="009133D2">
        <w:t>ection 3</w:t>
      </w:r>
      <w:r w:rsidR="00862C93">
        <w:t>5</w:t>
      </w:r>
      <w:r w:rsidRPr="009133D2">
        <w:t xml:space="preserve"> of the Act.  </w:t>
      </w:r>
    </w:p>
    <w:p w14:paraId="25B74419" w14:textId="77777777" w:rsidR="00862C93" w:rsidRDefault="00862C93" w:rsidP="00000ACF">
      <w:pPr>
        <w:pStyle w:val="ListParagraph"/>
      </w:pPr>
    </w:p>
    <w:p w14:paraId="0D21C015" w14:textId="54F383A6" w:rsidR="00862C93" w:rsidRDefault="00862C93" w:rsidP="00000ACF">
      <w:pPr>
        <w:pStyle w:val="ListParagraph"/>
        <w:numPr>
          <w:ilvl w:val="0"/>
          <w:numId w:val="22"/>
        </w:numPr>
      </w:pPr>
      <w:r>
        <w:t xml:space="preserve">Multiple sets of rules are permitted for multi-disciplinary events. All rules must be specified in the approval to register the event under Section 35 of the Act. </w:t>
      </w:r>
      <w:r w:rsidR="00F232E8">
        <w:t xml:space="preserve">To avoid further doubt, only one set of rules can be used for singular contests. </w:t>
      </w:r>
    </w:p>
    <w:p w14:paraId="3240CB19" w14:textId="77777777" w:rsidR="00ED7CE7" w:rsidRDefault="00ED7CE7" w:rsidP="00000ACF">
      <w:pPr>
        <w:pStyle w:val="ListParagraph"/>
      </w:pPr>
    </w:p>
    <w:p w14:paraId="1A5E6476" w14:textId="3A79CAA8" w:rsidR="00ED7CE7" w:rsidRDefault="00ED7CE7" w:rsidP="00000ACF">
      <w:pPr>
        <w:pStyle w:val="ListParagraph"/>
        <w:numPr>
          <w:ilvl w:val="0"/>
          <w:numId w:val="22"/>
        </w:numPr>
      </w:pPr>
      <w:r w:rsidRPr="005B5A5A">
        <w:t>Where the rules of the co</w:t>
      </w:r>
      <w:r>
        <w:t xml:space="preserve">ntrolled </w:t>
      </w:r>
      <w:r w:rsidRPr="005B5A5A">
        <w:t xml:space="preserve">sport conflict with this Code of Practice, the Code of Practice will apply. </w:t>
      </w:r>
    </w:p>
    <w:p w14:paraId="129FF794" w14:textId="77777777" w:rsidR="00B03DF4" w:rsidRDefault="00B03DF4" w:rsidP="00000ACF">
      <w:pPr>
        <w:pStyle w:val="ListParagraph"/>
      </w:pPr>
    </w:p>
    <w:p w14:paraId="179A3996" w14:textId="4496F73A" w:rsidR="00B03DF4" w:rsidRDefault="00B03DF4" w:rsidP="00000ACF">
      <w:pPr>
        <w:pStyle w:val="ListParagraph"/>
        <w:numPr>
          <w:ilvl w:val="0"/>
          <w:numId w:val="22"/>
        </w:numPr>
      </w:pPr>
      <w:r>
        <w:t xml:space="preserve">A registrable event is permitted to run concurrently </w:t>
      </w:r>
      <w:r w:rsidR="00F232E8">
        <w:t xml:space="preserve">or consecutively </w:t>
      </w:r>
      <w:r>
        <w:t xml:space="preserve">with a exempted light contact combat sport as specified under Section 8 of the Act. </w:t>
      </w:r>
    </w:p>
    <w:p w14:paraId="44B5DCDA" w14:textId="77777777" w:rsidR="00172BAA" w:rsidRDefault="00172BAA" w:rsidP="00000ACF">
      <w:pPr>
        <w:pStyle w:val="ListParagraph"/>
      </w:pPr>
    </w:p>
    <w:p w14:paraId="66599F89" w14:textId="77777777" w:rsidR="00F76E1D" w:rsidRDefault="00F76E1D" w:rsidP="00F76E1D"/>
    <w:p w14:paraId="3DE01C1E" w14:textId="77777777" w:rsidR="00640CA5" w:rsidRDefault="00640CA5" w:rsidP="00F76E1D"/>
    <w:p w14:paraId="7EE80A49" w14:textId="26DF92F3" w:rsidR="00356A84" w:rsidRPr="00356A84" w:rsidRDefault="00356A84" w:rsidP="00356A84">
      <w:pPr>
        <w:shd w:val="clear" w:color="auto" w:fill="DBE5F1" w:themeFill="accent1" w:themeFillTint="33"/>
        <w:rPr>
          <w:b/>
        </w:rPr>
      </w:pPr>
      <w:r w:rsidRPr="00356A84">
        <w:rPr>
          <w:b/>
        </w:rPr>
        <w:lastRenderedPageBreak/>
        <w:t xml:space="preserve">Promoter Responsibilities </w:t>
      </w:r>
    </w:p>
    <w:p w14:paraId="2A186FD0" w14:textId="65BD775F" w:rsidR="00C00C67" w:rsidRDefault="00C00C67" w:rsidP="00000ACF">
      <w:pPr>
        <w:pStyle w:val="ListParagraph"/>
        <w:numPr>
          <w:ilvl w:val="0"/>
          <w:numId w:val="22"/>
        </w:numPr>
      </w:pPr>
      <w:r>
        <w:t xml:space="preserve">The promoter of the registrable controlled sports event must advise the </w:t>
      </w:r>
      <w:r w:rsidR="00771B8D">
        <w:t>ACT Registrar for Controlled Sports</w:t>
      </w:r>
      <w:r>
        <w:t xml:space="preserve"> if the event is not proceeding, as soon as this information becomes available to the promoter. </w:t>
      </w:r>
    </w:p>
    <w:p w14:paraId="6A5F91F8" w14:textId="77777777" w:rsidR="00771B8D" w:rsidRDefault="00771B8D" w:rsidP="00000ACF">
      <w:pPr>
        <w:pStyle w:val="ListParagraph"/>
      </w:pPr>
    </w:p>
    <w:p w14:paraId="33BCA02D" w14:textId="389CA377" w:rsidR="00F76E1D" w:rsidRDefault="00F76E1D" w:rsidP="00000ACF">
      <w:pPr>
        <w:pStyle w:val="ListParagraph"/>
        <w:numPr>
          <w:ilvl w:val="0"/>
          <w:numId w:val="22"/>
        </w:numPr>
      </w:pPr>
      <w:r>
        <w:t xml:space="preserve">The promoter must supply clean and appropriate </w:t>
      </w:r>
      <w:r w:rsidR="00CB592A">
        <w:t>weight</w:t>
      </w:r>
      <w:r>
        <w:t xml:space="preserve"> gloves (if any) required in accordance with the rules specified in the approval</w:t>
      </w:r>
      <w:r w:rsidR="00817916">
        <w:t xml:space="preserve"> under Section 35 of the Act</w:t>
      </w:r>
      <w:r>
        <w:t xml:space="preserve">, for each contestant competing in a registrable controlled sports event. </w:t>
      </w:r>
    </w:p>
    <w:p w14:paraId="1F2DB08F" w14:textId="77777777" w:rsidR="00C00C67" w:rsidRDefault="00C00C67" w:rsidP="00000ACF">
      <w:pPr>
        <w:pStyle w:val="ListParagraph"/>
      </w:pPr>
    </w:p>
    <w:p w14:paraId="45B6D17E" w14:textId="77777777" w:rsidR="00695FF3" w:rsidRDefault="00C00C67" w:rsidP="00000ACF">
      <w:pPr>
        <w:pStyle w:val="ListParagraph"/>
        <w:numPr>
          <w:ilvl w:val="0"/>
          <w:numId w:val="22"/>
        </w:numPr>
      </w:pPr>
      <w:r>
        <w:t>T</w:t>
      </w:r>
      <w:r w:rsidRPr="00C00C67">
        <w:t xml:space="preserve">he promoter of the </w:t>
      </w:r>
      <w:r>
        <w:t>event</w:t>
      </w:r>
      <w:r w:rsidRPr="00C00C67">
        <w:t xml:space="preserve"> must provide</w:t>
      </w:r>
      <w:r w:rsidR="00695FF3">
        <w:t>:</w:t>
      </w:r>
      <w:r w:rsidRPr="00C00C67">
        <w:t xml:space="preserve"> </w:t>
      </w:r>
    </w:p>
    <w:p w14:paraId="4F1942A5" w14:textId="77777777" w:rsidR="00695FF3" w:rsidRDefault="00695FF3" w:rsidP="00695FF3">
      <w:pPr>
        <w:pStyle w:val="ListParagraph"/>
      </w:pPr>
    </w:p>
    <w:p w14:paraId="00731A83" w14:textId="77777777" w:rsidR="00695FF3" w:rsidRDefault="00C00C67" w:rsidP="00695FF3">
      <w:pPr>
        <w:pStyle w:val="ListParagraph"/>
        <w:numPr>
          <w:ilvl w:val="1"/>
          <w:numId w:val="22"/>
        </w:numPr>
      </w:pPr>
      <w:r w:rsidRPr="00C00C67">
        <w:t>the weigh-in-scales</w:t>
      </w:r>
      <w:r w:rsidR="00695FF3">
        <w:t xml:space="preserve">; </w:t>
      </w:r>
    </w:p>
    <w:p w14:paraId="2063A60C" w14:textId="48384983" w:rsidR="00695FF3" w:rsidRDefault="00C00C67" w:rsidP="00695FF3">
      <w:pPr>
        <w:pStyle w:val="ListParagraph"/>
        <w:numPr>
          <w:ilvl w:val="1"/>
          <w:numId w:val="22"/>
        </w:numPr>
      </w:pPr>
      <w:r w:rsidRPr="00C00C67">
        <w:t>a bed or plinth</w:t>
      </w:r>
      <w:r w:rsidR="008F4D00">
        <w:t xml:space="preserve"> table</w:t>
      </w:r>
      <w:r w:rsidRPr="00C00C67">
        <w:t xml:space="preserve"> for use by the medical practitioner</w:t>
      </w:r>
      <w:r w:rsidR="00695FF3">
        <w:t xml:space="preserve">; and </w:t>
      </w:r>
      <w:r w:rsidRPr="00C00C67">
        <w:t xml:space="preserve"> </w:t>
      </w:r>
    </w:p>
    <w:p w14:paraId="16D1CA29" w14:textId="637923F6" w:rsidR="00C00C67" w:rsidRDefault="00C00C67" w:rsidP="00695FF3">
      <w:pPr>
        <w:pStyle w:val="ListParagraph"/>
        <w:numPr>
          <w:ilvl w:val="1"/>
          <w:numId w:val="22"/>
        </w:numPr>
      </w:pPr>
      <w:r w:rsidRPr="00C00C67">
        <w:t>the hammer</w:t>
      </w:r>
      <w:r w:rsidR="00695FF3">
        <w:t xml:space="preserve">, </w:t>
      </w:r>
      <w:r w:rsidRPr="00C00C67">
        <w:t xml:space="preserve">bell </w:t>
      </w:r>
      <w:r w:rsidR="00695FF3">
        <w:t xml:space="preserve">or alternative timekeeping device </w:t>
      </w:r>
      <w:r w:rsidRPr="00C00C67">
        <w:t xml:space="preserve">for use by timekeepers at the </w:t>
      </w:r>
      <w:r>
        <w:t xml:space="preserve">event. </w:t>
      </w:r>
    </w:p>
    <w:p w14:paraId="2A7F45CC" w14:textId="77777777" w:rsidR="00C00C67" w:rsidRPr="00C00C67" w:rsidRDefault="00C00C67" w:rsidP="00000ACF">
      <w:pPr>
        <w:pStyle w:val="ListParagraph"/>
      </w:pPr>
    </w:p>
    <w:p w14:paraId="6645CF46" w14:textId="6BC4B7D1" w:rsidR="00C00C67" w:rsidRDefault="00C00C67" w:rsidP="00000ACF">
      <w:pPr>
        <w:pStyle w:val="ListParagraph"/>
        <w:numPr>
          <w:ilvl w:val="0"/>
          <w:numId w:val="22"/>
        </w:numPr>
      </w:pPr>
      <w:r>
        <w:t>T</w:t>
      </w:r>
      <w:r w:rsidRPr="00C00C67">
        <w:t xml:space="preserve">he promoter of the </w:t>
      </w:r>
      <w:r>
        <w:t>event</w:t>
      </w:r>
      <w:r w:rsidRPr="00C00C67">
        <w:t xml:space="preserve"> must ensure that </w:t>
      </w:r>
      <w:r>
        <w:t>a</w:t>
      </w:r>
      <w:r w:rsidRPr="00C00C67">
        <w:t xml:space="preserve"> contest does not commence, or continue, unless a referee is present in the </w:t>
      </w:r>
      <w:r w:rsidR="00817916">
        <w:t xml:space="preserve">contest area. </w:t>
      </w:r>
    </w:p>
    <w:p w14:paraId="49F948F4" w14:textId="77777777" w:rsidR="00E4319C" w:rsidRDefault="00E4319C" w:rsidP="00E4319C">
      <w:pPr>
        <w:pStyle w:val="ListParagraph"/>
      </w:pPr>
    </w:p>
    <w:p w14:paraId="39D37452" w14:textId="6E07B555" w:rsidR="00E4319C" w:rsidRDefault="00E4319C" w:rsidP="00E4319C">
      <w:pPr>
        <w:pStyle w:val="ListParagraph"/>
        <w:numPr>
          <w:ilvl w:val="0"/>
          <w:numId w:val="22"/>
        </w:numPr>
      </w:pPr>
      <w:r>
        <w:t xml:space="preserve">The promoter must report to the ACT Registrar: </w:t>
      </w:r>
    </w:p>
    <w:p w14:paraId="00222D8F" w14:textId="38C47192" w:rsidR="00E4319C" w:rsidRDefault="00E4319C" w:rsidP="00E4319C">
      <w:pPr>
        <w:pStyle w:val="ListParagraph"/>
        <w:numPr>
          <w:ilvl w:val="0"/>
          <w:numId w:val="37"/>
        </w:numPr>
      </w:pPr>
      <w:r>
        <w:t xml:space="preserve">event results within five working days of the end of the contest. This includes contestant names, results of each contest (win, loss, draw), the type of win/loss (if applicable), scores, winnings; </w:t>
      </w:r>
    </w:p>
    <w:p w14:paraId="4FD40E94" w14:textId="33182957" w:rsidR="00E4319C" w:rsidRDefault="00E4319C" w:rsidP="00E4319C">
      <w:pPr>
        <w:pStyle w:val="ListParagraph"/>
        <w:numPr>
          <w:ilvl w:val="0"/>
          <w:numId w:val="37"/>
        </w:numPr>
      </w:pPr>
      <w:r w:rsidRPr="00695FF3">
        <w:t xml:space="preserve">any serious injuries, deaths of any contestant, official, or member of the public, or disruption to public order to the ACT Registrar for Controlled Sports or their nominated representative immediately following the incident whether or not the promoter believes the serious injury, death or disruption to pubic order was a direct result of the event or contest. </w:t>
      </w:r>
    </w:p>
    <w:p w14:paraId="32041770" w14:textId="77777777" w:rsidR="004841CC" w:rsidRPr="00695FF3" w:rsidRDefault="004841CC" w:rsidP="004841CC">
      <w:pPr>
        <w:pStyle w:val="ListParagraph"/>
        <w:ind w:left="1080"/>
      </w:pPr>
    </w:p>
    <w:p w14:paraId="03CF1D9B" w14:textId="77777777" w:rsidR="004841CC" w:rsidRPr="00862C93" w:rsidRDefault="004841CC" w:rsidP="004841CC">
      <w:pPr>
        <w:shd w:val="clear" w:color="auto" w:fill="DBE5F1" w:themeFill="accent1" w:themeFillTint="33"/>
        <w:rPr>
          <w:b/>
        </w:rPr>
      </w:pPr>
      <w:r>
        <w:rPr>
          <w:b/>
        </w:rPr>
        <w:t xml:space="preserve">Inspectors and Government Officials </w:t>
      </w:r>
    </w:p>
    <w:p w14:paraId="3BAF65A0" w14:textId="77777777" w:rsidR="004841CC" w:rsidRPr="005B5A5A" w:rsidRDefault="004841CC" w:rsidP="004841CC">
      <w:pPr>
        <w:pStyle w:val="ListParagraph"/>
        <w:numPr>
          <w:ilvl w:val="0"/>
          <w:numId w:val="22"/>
        </w:numPr>
      </w:pPr>
      <w:r>
        <w:t xml:space="preserve">The ACT Registrar for Controlled Sports, </w:t>
      </w:r>
      <w:r w:rsidRPr="005B5A5A">
        <w:t xml:space="preserve">ACT Government </w:t>
      </w:r>
      <w:r>
        <w:t xml:space="preserve">Officials or their </w:t>
      </w:r>
      <w:r w:rsidRPr="005B5A5A">
        <w:t>associates, in t</w:t>
      </w:r>
      <w:r>
        <w:t>he course of their duties must</w:t>
      </w:r>
      <w:r w:rsidRPr="005B5A5A">
        <w:t xml:space="preserve"> be provided with access free of charge to all </w:t>
      </w:r>
      <w:r>
        <w:t>controlled sports events</w:t>
      </w:r>
      <w:r w:rsidRPr="005B5A5A">
        <w:t xml:space="preserve">, </w:t>
      </w:r>
      <w:r>
        <w:t>pre-contest</w:t>
      </w:r>
      <w:r w:rsidRPr="005B5A5A">
        <w:t xml:space="preserve"> medical examinations and weigh-ins and are to be provided with a </w:t>
      </w:r>
      <w:r>
        <w:t xml:space="preserve">contest side </w:t>
      </w:r>
      <w:r w:rsidRPr="005B5A5A">
        <w:t>seat</w:t>
      </w:r>
      <w:r>
        <w:t>: proximate to the contest and</w:t>
      </w:r>
      <w:r w:rsidRPr="005B5A5A">
        <w:t xml:space="preserve"> with </w:t>
      </w:r>
      <w:r>
        <w:t xml:space="preserve">an </w:t>
      </w:r>
      <w:r w:rsidRPr="005B5A5A">
        <w:t xml:space="preserve">unobstructed view of the </w:t>
      </w:r>
      <w:r>
        <w:t>contest</w:t>
      </w:r>
      <w:r w:rsidRPr="005B5A5A">
        <w:t xml:space="preserve"> area.  </w:t>
      </w:r>
    </w:p>
    <w:p w14:paraId="52DA8C4E" w14:textId="77777777" w:rsidR="004841CC" w:rsidRDefault="004841CC" w:rsidP="004841CC">
      <w:pPr>
        <w:pStyle w:val="ListParagraph"/>
      </w:pPr>
    </w:p>
    <w:p w14:paraId="25457CBB" w14:textId="77777777" w:rsidR="004841CC" w:rsidRDefault="004841CC" w:rsidP="004841CC">
      <w:pPr>
        <w:pStyle w:val="ListParagraph"/>
        <w:numPr>
          <w:ilvl w:val="0"/>
          <w:numId w:val="22"/>
        </w:numPr>
      </w:pPr>
      <w:r>
        <w:t>Inspectors and any ACT Government official or their associates, are not permitted any involvement in the payment of contestants or to be custodians of any payments for contestants before, during or after contests.</w:t>
      </w:r>
      <w:r>
        <w:br/>
      </w:r>
    </w:p>
    <w:p w14:paraId="75CED717" w14:textId="77777777" w:rsidR="004841CC" w:rsidRDefault="004841CC" w:rsidP="004841CC">
      <w:pPr>
        <w:pStyle w:val="ListParagraph"/>
        <w:numPr>
          <w:ilvl w:val="0"/>
          <w:numId w:val="22"/>
        </w:numPr>
      </w:pPr>
      <w:r>
        <w:t xml:space="preserve">All matters relating to the payment of officials and contestants are made between the promoter and the official/ contestant. The ACT Registrar for Controlled Sports or their representative is unable to intervene in any matters regarding payments. </w:t>
      </w:r>
    </w:p>
    <w:p w14:paraId="26F31D13" w14:textId="77777777" w:rsidR="00862C93" w:rsidRDefault="00862C93" w:rsidP="00263465">
      <w:pPr>
        <w:spacing w:before="140"/>
      </w:pPr>
    </w:p>
    <w:p w14:paraId="6203E147" w14:textId="77777777" w:rsidR="004841CC" w:rsidRDefault="004841CC" w:rsidP="00263465">
      <w:pPr>
        <w:spacing w:before="140"/>
      </w:pPr>
    </w:p>
    <w:p w14:paraId="49E64678" w14:textId="77777777" w:rsidR="004841CC" w:rsidRDefault="004841CC" w:rsidP="00263465">
      <w:pPr>
        <w:spacing w:before="140"/>
      </w:pPr>
    </w:p>
    <w:p w14:paraId="20A74916" w14:textId="4CAB896A" w:rsidR="007B1073" w:rsidRPr="007B1073" w:rsidRDefault="007B1073" w:rsidP="007A6D8E">
      <w:pPr>
        <w:shd w:val="clear" w:color="auto" w:fill="DBE5F1" w:themeFill="accent1" w:themeFillTint="33"/>
        <w:rPr>
          <w:b/>
        </w:rPr>
      </w:pPr>
      <w:r>
        <w:rPr>
          <w:b/>
        </w:rPr>
        <w:lastRenderedPageBreak/>
        <w:t xml:space="preserve">Insurance </w:t>
      </w:r>
    </w:p>
    <w:p w14:paraId="3EE1E1BE" w14:textId="39BAA998" w:rsidR="00862C93" w:rsidRDefault="00862C93" w:rsidP="00000ACF">
      <w:pPr>
        <w:pStyle w:val="ListParagraph"/>
        <w:numPr>
          <w:ilvl w:val="0"/>
          <w:numId w:val="22"/>
        </w:numPr>
      </w:pPr>
      <w:r>
        <w:t>I</w:t>
      </w:r>
      <w:r w:rsidR="007B1073">
        <w:t>nsurances</w:t>
      </w:r>
      <w:r w:rsidR="00111350">
        <w:t xml:space="preserve"> </w:t>
      </w:r>
      <w:r>
        <w:t xml:space="preserve">are </w:t>
      </w:r>
      <w:r w:rsidR="00111350">
        <w:t xml:space="preserve">listed in </w:t>
      </w:r>
      <w:r w:rsidR="00111350" w:rsidRPr="00000ACF">
        <w:rPr>
          <w:b/>
        </w:rPr>
        <w:t>Table 1</w:t>
      </w:r>
      <w:r w:rsidRPr="00000ACF">
        <w:t xml:space="preserve">. </w:t>
      </w:r>
      <w:r>
        <w:t>Those listed as mandatory</w:t>
      </w:r>
      <w:r w:rsidR="007B1073">
        <w:t xml:space="preserve"> are required for registrable events</w:t>
      </w:r>
      <w:r>
        <w:t xml:space="preserve">, and </w:t>
      </w:r>
      <w:r w:rsidR="00F232E8">
        <w:t xml:space="preserve">evidence of coverage </w:t>
      </w:r>
      <w:r>
        <w:t xml:space="preserve">must be supplied as </w:t>
      </w:r>
      <w:r w:rsidR="007B1073">
        <w:t>part of the application to hold a registrable event</w:t>
      </w:r>
      <w:r>
        <w:t xml:space="preserve"> under Section 34 of the Act</w:t>
      </w:r>
      <w:r w:rsidR="007B1073">
        <w:t>.</w:t>
      </w:r>
    </w:p>
    <w:p w14:paraId="1DDBD710" w14:textId="77777777" w:rsidR="00862C93" w:rsidRDefault="00862C93" w:rsidP="00000ACF">
      <w:pPr>
        <w:pStyle w:val="ListParagraph"/>
      </w:pPr>
    </w:p>
    <w:p w14:paraId="2BA063FF" w14:textId="46C47EAE" w:rsidR="00F232E8" w:rsidRDefault="00862C93" w:rsidP="00000ACF">
      <w:pPr>
        <w:pStyle w:val="ListParagraph"/>
        <w:numPr>
          <w:ilvl w:val="0"/>
          <w:numId w:val="22"/>
        </w:numPr>
      </w:pPr>
      <w:r>
        <w:t xml:space="preserve">Recommended insurances are recommended but not mandatory. Evidence of these insurances is not required as part of the application. </w:t>
      </w:r>
    </w:p>
    <w:p w14:paraId="33F5692B" w14:textId="68D06F42" w:rsidR="00111350" w:rsidRPr="00263465" w:rsidRDefault="00111350" w:rsidP="00263465">
      <w:pPr>
        <w:spacing w:before="140"/>
        <w:ind w:firstLine="720"/>
        <w:rPr>
          <w:b/>
        </w:rPr>
      </w:pPr>
      <w:r w:rsidRPr="00263465">
        <w:rPr>
          <w:b/>
        </w:rPr>
        <w:t xml:space="preserve">Table 1: </w:t>
      </w:r>
    </w:p>
    <w:tbl>
      <w:tblPr>
        <w:tblStyle w:val="TableGrid"/>
        <w:tblW w:w="8080" w:type="dxa"/>
        <w:tblInd w:w="279" w:type="dxa"/>
        <w:tblLook w:val="04A0" w:firstRow="1" w:lastRow="0" w:firstColumn="1" w:lastColumn="0" w:noHBand="0" w:noVBand="1"/>
      </w:tblPr>
      <w:tblGrid>
        <w:gridCol w:w="1793"/>
        <w:gridCol w:w="2318"/>
        <w:gridCol w:w="2268"/>
        <w:gridCol w:w="1701"/>
      </w:tblGrid>
      <w:tr w:rsidR="007B1073" w14:paraId="22185550" w14:textId="77777777" w:rsidTr="00263465">
        <w:trPr>
          <w:tblHeader/>
        </w:trPr>
        <w:tc>
          <w:tcPr>
            <w:tcW w:w="1793" w:type="dxa"/>
            <w:shd w:val="clear" w:color="auto" w:fill="BFBFBF" w:themeFill="background1" w:themeFillShade="BF"/>
          </w:tcPr>
          <w:p w14:paraId="2E7D0EE8" w14:textId="383A3B26" w:rsidR="007B1073" w:rsidRPr="007B1073" w:rsidRDefault="00111350" w:rsidP="00111350">
            <w:pPr>
              <w:pStyle w:val="ListParagraph"/>
              <w:spacing w:before="140"/>
              <w:ind w:left="-108" w:firstLine="108"/>
              <w:rPr>
                <w:b/>
              </w:rPr>
            </w:pPr>
            <w:r>
              <w:rPr>
                <w:b/>
              </w:rPr>
              <w:t>Role</w:t>
            </w:r>
          </w:p>
        </w:tc>
        <w:tc>
          <w:tcPr>
            <w:tcW w:w="2318" w:type="dxa"/>
            <w:shd w:val="clear" w:color="auto" w:fill="BFBFBF" w:themeFill="background1" w:themeFillShade="BF"/>
          </w:tcPr>
          <w:p w14:paraId="0EB1A151" w14:textId="7404FC76" w:rsidR="007B1073" w:rsidRPr="007B1073" w:rsidRDefault="007B1073" w:rsidP="007B1073">
            <w:pPr>
              <w:pStyle w:val="ListParagraph"/>
              <w:spacing w:before="140"/>
              <w:ind w:left="0"/>
              <w:rPr>
                <w:b/>
              </w:rPr>
            </w:pPr>
            <w:r w:rsidRPr="007B1073">
              <w:rPr>
                <w:b/>
              </w:rPr>
              <w:t xml:space="preserve">Insurances </w:t>
            </w:r>
          </w:p>
        </w:tc>
        <w:tc>
          <w:tcPr>
            <w:tcW w:w="2268" w:type="dxa"/>
            <w:shd w:val="clear" w:color="auto" w:fill="BFBFBF" w:themeFill="background1" w:themeFillShade="BF"/>
          </w:tcPr>
          <w:p w14:paraId="4F865B65" w14:textId="7E562B1B" w:rsidR="007B1073" w:rsidRPr="007B1073" w:rsidRDefault="007B1073" w:rsidP="007B1073">
            <w:pPr>
              <w:pStyle w:val="ListParagraph"/>
              <w:spacing w:before="140"/>
              <w:ind w:left="0"/>
              <w:rPr>
                <w:b/>
              </w:rPr>
            </w:pPr>
            <w:r w:rsidRPr="007B1073">
              <w:rPr>
                <w:b/>
              </w:rPr>
              <w:t xml:space="preserve">Mandatory or Recommended </w:t>
            </w:r>
          </w:p>
        </w:tc>
        <w:tc>
          <w:tcPr>
            <w:tcW w:w="1701" w:type="dxa"/>
            <w:shd w:val="clear" w:color="auto" w:fill="BFBFBF" w:themeFill="background1" w:themeFillShade="BF"/>
          </w:tcPr>
          <w:p w14:paraId="706D09A8" w14:textId="49C0E94A" w:rsidR="007B1073" w:rsidRPr="007B1073" w:rsidRDefault="007B1073" w:rsidP="007B1073">
            <w:pPr>
              <w:pStyle w:val="ListParagraph"/>
              <w:spacing w:before="140"/>
              <w:ind w:left="0"/>
              <w:rPr>
                <w:b/>
              </w:rPr>
            </w:pPr>
            <w:r w:rsidRPr="007B1073">
              <w:rPr>
                <w:b/>
              </w:rPr>
              <w:t xml:space="preserve">Level </w:t>
            </w:r>
            <w:r>
              <w:rPr>
                <w:b/>
              </w:rPr>
              <w:t>(minimum)</w:t>
            </w:r>
          </w:p>
        </w:tc>
      </w:tr>
      <w:tr w:rsidR="007B1073" w14:paraId="1F19BC09" w14:textId="77777777" w:rsidTr="007B1073">
        <w:tc>
          <w:tcPr>
            <w:tcW w:w="1793" w:type="dxa"/>
            <w:vMerge w:val="restart"/>
          </w:tcPr>
          <w:p w14:paraId="1A8DAB77" w14:textId="5D02DD1C" w:rsidR="007B1073" w:rsidRDefault="007B1073" w:rsidP="007B1073">
            <w:pPr>
              <w:pStyle w:val="ListParagraph"/>
              <w:spacing w:before="140"/>
              <w:ind w:left="0"/>
            </w:pPr>
            <w:r>
              <w:t xml:space="preserve">Promoter </w:t>
            </w:r>
          </w:p>
        </w:tc>
        <w:tc>
          <w:tcPr>
            <w:tcW w:w="2318" w:type="dxa"/>
          </w:tcPr>
          <w:p w14:paraId="47F7C00F" w14:textId="51E96B6A" w:rsidR="007B1073" w:rsidRDefault="007B1073" w:rsidP="007B1073">
            <w:pPr>
              <w:pStyle w:val="ListParagraph"/>
              <w:spacing w:before="140"/>
              <w:ind w:left="0"/>
            </w:pPr>
            <w:r>
              <w:t xml:space="preserve">Public Liability </w:t>
            </w:r>
          </w:p>
        </w:tc>
        <w:tc>
          <w:tcPr>
            <w:tcW w:w="2268" w:type="dxa"/>
          </w:tcPr>
          <w:p w14:paraId="068FD266" w14:textId="02CA9F19" w:rsidR="007B1073" w:rsidRDefault="007B1073" w:rsidP="007B1073">
            <w:pPr>
              <w:pStyle w:val="ListParagraph"/>
              <w:spacing w:before="140"/>
              <w:ind w:left="0"/>
            </w:pPr>
            <w:r>
              <w:t xml:space="preserve">Mandatory </w:t>
            </w:r>
          </w:p>
        </w:tc>
        <w:tc>
          <w:tcPr>
            <w:tcW w:w="1701" w:type="dxa"/>
          </w:tcPr>
          <w:p w14:paraId="56874974" w14:textId="49CFC76D" w:rsidR="007B1073" w:rsidRDefault="007B1073" w:rsidP="00640CA5">
            <w:pPr>
              <w:pStyle w:val="ListParagraph"/>
              <w:spacing w:before="140"/>
              <w:ind w:left="0"/>
            </w:pPr>
            <w:r>
              <w:t>$</w:t>
            </w:r>
            <w:r w:rsidR="00640CA5">
              <w:t>2</w:t>
            </w:r>
            <w:r>
              <w:t xml:space="preserve">0 million </w:t>
            </w:r>
          </w:p>
        </w:tc>
      </w:tr>
      <w:tr w:rsidR="007B1073" w14:paraId="4D28B18D" w14:textId="77777777" w:rsidTr="00827928">
        <w:tc>
          <w:tcPr>
            <w:tcW w:w="1793" w:type="dxa"/>
            <w:vMerge/>
          </w:tcPr>
          <w:p w14:paraId="394F7764" w14:textId="77777777" w:rsidR="007B1073" w:rsidRDefault="007B1073" w:rsidP="007B1073">
            <w:pPr>
              <w:pStyle w:val="ListParagraph"/>
              <w:spacing w:before="140"/>
              <w:ind w:left="0"/>
            </w:pPr>
          </w:p>
        </w:tc>
        <w:tc>
          <w:tcPr>
            <w:tcW w:w="2318" w:type="dxa"/>
            <w:shd w:val="clear" w:color="auto" w:fill="F2F2F2" w:themeFill="background1" w:themeFillShade="F2"/>
          </w:tcPr>
          <w:p w14:paraId="38A4142A" w14:textId="64EC6AC7" w:rsidR="007B1073" w:rsidRDefault="007B1073" w:rsidP="007B1073">
            <w:pPr>
              <w:pStyle w:val="ListParagraph"/>
              <w:spacing w:before="140"/>
              <w:ind w:left="0"/>
            </w:pPr>
            <w:r>
              <w:t>Professional Indemnity (covering promoter &amp; officials</w:t>
            </w:r>
            <w:r w:rsidR="0055745B">
              <w:t>)</w:t>
            </w:r>
            <w:r>
              <w:t xml:space="preserve"> </w:t>
            </w:r>
          </w:p>
        </w:tc>
        <w:tc>
          <w:tcPr>
            <w:tcW w:w="2268" w:type="dxa"/>
            <w:shd w:val="clear" w:color="auto" w:fill="F2F2F2" w:themeFill="background1" w:themeFillShade="F2"/>
          </w:tcPr>
          <w:p w14:paraId="09A66B20" w14:textId="2ABA7A1B" w:rsidR="007B1073" w:rsidRDefault="007B1073" w:rsidP="007B1073">
            <w:pPr>
              <w:pStyle w:val="ListParagraph"/>
              <w:spacing w:before="140"/>
              <w:ind w:left="0"/>
            </w:pPr>
            <w:r>
              <w:t xml:space="preserve">Mandatory </w:t>
            </w:r>
          </w:p>
        </w:tc>
        <w:tc>
          <w:tcPr>
            <w:tcW w:w="1701" w:type="dxa"/>
            <w:shd w:val="clear" w:color="auto" w:fill="F2F2F2" w:themeFill="background1" w:themeFillShade="F2"/>
          </w:tcPr>
          <w:p w14:paraId="50685243" w14:textId="4EEB3027" w:rsidR="007B1073" w:rsidRDefault="007B1073" w:rsidP="007B1073">
            <w:pPr>
              <w:pStyle w:val="ListParagraph"/>
              <w:spacing w:before="140"/>
              <w:ind w:left="0"/>
            </w:pPr>
            <w:r>
              <w:t xml:space="preserve">$5 million </w:t>
            </w:r>
          </w:p>
        </w:tc>
      </w:tr>
      <w:tr w:rsidR="007B1073" w14:paraId="772CC061" w14:textId="77777777" w:rsidTr="007B1073">
        <w:tc>
          <w:tcPr>
            <w:tcW w:w="1793" w:type="dxa"/>
            <w:vMerge/>
          </w:tcPr>
          <w:p w14:paraId="2D304691" w14:textId="77777777" w:rsidR="007B1073" w:rsidRDefault="007B1073" w:rsidP="007B1073">
            <w:pPr>
              <w:pStyle w:val="ListParagraph"/>
              <w:spacing w:before="140"/>
              <w:ind w:left="0"/>
            </w:pPr>
          </w:p>
        </w:tc>
        <w:tc>
          <w:tcPr>
            <w:tcW w:w="2318" w:type="dxa"/>
          </w:tcPr>
          <w:p w14:paraId="300FE212" w14:textId="72AC6652" w:rsidR="007B1073" w:rsidRDefault="007B1073" w:rsidP="007B1073">
            <w:pPr>
              <w:pStyle w:val="ListParagraph"/>
              <w:spacing w:before="140"/>
              <w:ind w:left="0"/>
            </w:pPr>
            <w:r>
              <w:t xml:space="preserve">Worker’s Compensation </w:t>
            </w:r>
          </w:p>
        </w:tc>
        <w:tc>
          <w:tcPr>
            <w:tcW w:w="2268" w:type="dxa"/>
          </w:tcPr>
          <w:p w14:paraId="3DC57792" w14:textId="77777777" w:rsidR="007B1073" w:rsidRDefault="007B1073" w:rsidP="007B1073">
            <w:pPr>
              <w:pStyle w:val="ListParagraph"/>
              <w:spacing w:before="140"/>
              <w:ind w:left="0"/>
            </w:pPr>
            <w:r>
              <w:t>Mandatory (where an employment relationship exists</w:t>
            </w:r>
            <w:r w:rsidR="00111350">
              <w:t>*</w:t>
            </w:r>
            <w:r>
              <w:t>)</w:t>
            </w:r>
          </w:p>
          <w:p w14:paraId="5B88E0E6" w14:textId="77777777" w:rsidR="00263465" w:rsidRDefault="00263465" w:rsidP="007B1073">
            <w:pPr>
              <w:pStyle w:val="ListParagraph"/>
              <w:spacing w:before="140"/>
              <w:ind w:left="0"/>
            </w:pPr>
          </w:p>
          <w:p w14:paraId="6C60AB9F" w14:textId="7F722320" w:rsidR="00263465" w:rsidRDefault="00263465" w:rsidP="007B1073">
            <w:pPr>
              <w:pStyle w:val="ListParagraph"/>
              <w:spacing w:before="140"/>
              <w:ind w:left="0"/>
            </w:pPr>
          </w:p>
        </w:tc>
        <w:tc>
          <w:tcPr>
            <w:tcW w:w="1701" w:type="dxa"/>
          </w:tcPr>
          <w:p w14:paraId="53A4DFDB" w14:textId="77777777" w:rsidR="007B1073" w:rsidRDefault="007B1073" w:rsidP="007B1073">
            <w:pPr>
              <w:pStyle w:val="ListParagraph"/>
              <w:spacing w:before="140"/>
              <w:ind w:left="0"/>
            </w:pPr>
          </w:p>
        </w:tc>
      </w:tr>
      <w:tr w:rsidR="007B1073" w14:paraId="5797AB62" w14:textId="77777777" w:rsidTr="00827928">
        <w:tc>
          <w:tcPr>
            <w:tcW w:w="1793" w:type="dxa"/>
            <w:shd w:val="clear" w:color="auto" w:fill="F2F2F2" w:themeFill="background1" w:themeFillShade="F2"/>
          </w:tcPr>
          <w:p w14:paraId="2CFBE5D1" w14:textId="56AC4191" w:rsidR="007B1073" w:rsidRDefault="00111350" w:rsidP="007B1073">
            <w:pPr>
              <w:pStyle w:val="ListParagraph"/>
              <w:spacing w:before="140"/>
              <w:ind w:left="0"/>
            </w:pPr>
            <w:r>
              <w:t xml:space="preserve">Trainer/ </w:t>
            </w:r>
          </w:p>
          <w:p w14:paraId="0ADD31B1" w14:textId="295C2BD2" w:rsidR="00111350" w:rsidRDefault="00111350" w:rsidP="007B1073">
            <w:pPr>
              <w:pStyle w:val="ListParagraph"/>
              <w:spacing w:before="140"/>
              <w:ind w:left="0"/>
            </w:pPr>
            <w:r>
              <w:t xml:space="preserve">Second </w:t>
            </w:r>
          </w:p>
        </w:tc>
        <w:tc>
          <w:tcPr>
            <w:tcW w:w="2318" w:type="dxa"/>
            <w:shd w:val="clear" w:color="auto" w:fill="F2F2F2" w:themeFill="background1" w:themeFillShade="F2"/>
          </w:tcPr>
          <w:p w14:paraId="62C80EDE" w14:textId="5009F074" w:rsidR="007B1073" w:rsidRDefault="00111350" w:rsidP="007B1073">
            <w:pPr>
              <w:pStyle w:val="ListParagraph"/>
              <w:spacing w:before="140"/>
              <w:ind w:left="0"/>
            </w:pPr>
            <w:r>
              <w:t xml:space="preserve">Professional Indemnity </w:t>
            </w:r>
          </w:p>
        </w:tc>
        <w:tc>
          <w:tcPr>
            <w:tcW w:w="2268" w:type="dxa"/>
            <w:shd w:val="clear" w:color="auto" w:fill="F2F2F2" w:themeFill="background1" w:themeFillShade="F2"/>
          </w:tcPr>
          <w:p w14:paraId="2FEF4400" w14:textId="285A71D3" w:rsidR="007B1073" w:rsidRDefault="00111350" w:rsidP="007B1073">
            <w:pPr>
              <w:pStyle w:val="ListParagraph"/>
              <w:spacing w:before="140"/>
              <w:ind w:left="0"/>
            </w:pPr>
            <w:r>
              <w:t xml:space="preserve">Recommended </w:t>
            </w:r>
          </w:p>
        </w:tc>
        <w:tc>
          <w:tcPr>
            <w:tcW w:w="1701" w:type="dxa"/>
            <w:shd w:val="clear" w:color="auto" w:fill="F2F2F2" w:themeFill="background1" w:themeFillShade="F2"/>
          </w:tcPr>
          <w:p w14:paraId="09107651" w14:textId="77777777" w:rsidR="007B1073" w:rsidRDefault="007B1073" w:rsidP="007B1073">
            <w:pPr>
              <w:pStyle w:val="ListParagraph"/>
              <w:spacing w:before="140"/>
              <w:ind w:left="0"/>
            </w:pPr>
          </w:p>
        </w:tc>
      </w:tr>
      <w:tr w:rsidR="00111350" w14:paraId="2373A145" w14:textId="77777777" w:rsidTr="007B1073">
        <w:tc>
          <w:tcPr>
            <w:tcW w:w="1793" w:type="dxa"/>
          </w:tcPr>
          <w:p w14:paraId="75957982" w14:textId="25FE993A" w:rsidR="00111350" w:rsidRDefault="00111350" w:rsidP="007B1073">
            <w:pPr>
              <w:pStyle w:val="ListParagraph"/>
              <w:spacing w:before="140"/>
              <w:ind w:left="0"/>
            </w:pPr>
            <w:r>
              <w:t xml:space="preserve">Referee </w:t>
            </w:r>
          </w:p>
        </w:tc>
        <w:tc>
          <w:tcPr>
            <w:tcW w:w="2318" w:type="dxa"/>
          </w:tcPr>
          <w:p w14:paraId="02636352" w14:textId="334912A6" w:rsidR="00111350" w:rsidRDefault="00111350" w:rsidP="007B1073">
            <w:pPr>
              <w:pStyle w:val="ListParagraph"/>
              <w:spacing w:before="140"/>
              <w:ind w:left="0"/>
            </w:pPr>
            <w:r>
              <w:t xml:space="preserve">Private Health </w:t>
            </w:r>
          </w:p>
        </w:tc>
        <w:tc>
          <w:tcPr>
            <w:tcW w:w="2268" w:type="dxa"/>
          </w:tcPr>
          <w:p w14:paraId="39E5F444" w14:textId="155D3636" w:rsidR="00111350" w:rsidRDefault="00111350" w:rsidP="007B1073">
            <w:pPr>
              <w:pStyle w:val="ListParagraph"/>
              <w:spacing w:before="140"/>
              <w:ind w:left="0"/>
            </w:pPr>
            <w:r>
              <w:t xml:space="preserve">Recommended </w:t>
            </w:r>
          </w:p>
        </w:tc>
        <w:tc>
          <w:tcPr>
            <w:tcW w:w="1701" w:type="dxa"/>
          </w:tcPr>
          <w:p w14:paraId="45D8A661" w14:textId="77777777" w:rsidR="00111350" w:rsidRDefault="00111350" w:rsidP="007B1073">
            <w:pPr>
              <w:pStyle w:val="ListParagraph"/>
              <w:spacing w:before="140"/>
              <w:ind w:left="0"/>
            </w:pPr>
          </w:p>
        </w:tc>
      </w:tr>
      <w:tr w:rsidR="007B1073" w14:paraId="6B7BB585" w14:textId="77777777" w:rsidTr="00827928">
        <w:tc>
          <w:tcPr>
            <w:tcW w:w="1793" w:type="dxa"/>
            <w:shd w:val="clear" w:color="auto" w:fill="F2F2F2" w:themeFill="background1" w:themeFillShade="F2"/>
          </w:tcPr>
          <w:p w14:paraId="7096C403" w14:textId="30CD83C5" w:rsidR="007B1073" w:rsidRDefault="00111350" w:rsidP="007B1073">
            <w:pPr>
              <w:pStyle w:val="ListParagraph"/>
              <w:spacing w:before="140"/>
              <w:ind w:left="0"/>
            </w:pPr>
            <w:r>
              <w:t xml:space="preserve">Contestant </w:t>
            </w:r>
          </w:p>
        </w:tc>
        <w:tc>
          <w:tcPr>
            <w:tcW w:w="2318" w:type="dxa"/>
            <w:shd w:val="clear" w:color="auto" w:fill="F2F2F2" w:themeFill="background1" w:themeFillShade="F2"/>
          </w:tcPr>
          <w:p w14:paraId="62EA9921" w14:textId="5744E76B" w:rsidR="007B1073" w:rsidRDefault="00111350" w:rsidP="007B1073">
            <w:pPr>
              <w:pStyle w:val="ListParagraph"/>
              <w:spacing w:before="140"/>
              <w:ind w:left="0"/>
            </w:pPr>
            <w:r>
              <w:t xml:space="preserve">Private Health </w:t>
            </w:r>
          </w:p>
        </w:tc>
        <w:tc>
          <w:tcPr>
            <w:tcW w:w="2268" w:type="dxa"/>
            <w:shd w:val="clear" w:color="auto" w:fill="F2F2F2" w:themeFill="background1" w:themeFillShade="F2"/>
          </w:tcPr>
          <w:p w14:paraId="5D017282" w14:textId="096EDF52" w:rsidR="007B1073" w:rsidRDefault="00111350" w:rsidP="007B1073">
            <w:pPr>
              <w:pStyle w:val="ListParagraph"/>
              <w:spacing w:before="140"/>
              <w:ind w:left="0"/>
            </w:pPr>
            <w:r>
              <w:t xml:space="preserve">Recommended </w:t>
            </w:r>
          </w:p>
        </w:tc>
        <w:tc>
          <w:tcPr>
            <w:tcW w:w="1701" w:type="dxa"/>
            <w:shd w:val="clear" w:color="auto" w:fill="F2F2F2" w:themeFill="background1" w:themeFillShade="F2"/>
          </w:tcPr>
          <w:p w14:paraId="1B92D82B" w14:textId="77777777" w:rsidR="007B1073" w:rsidRDefault="007B1073" w:rsidP="007B1073">
            <w:pPr>
              <w:pStyle w:val="ListParagraph"/>
              <w:spacing w:before="140"/>
              <w:ind w:left="0"/>
            </w:pPr>
          </w:p>
        </w:tc>
      </w:tr>
    </w:tbl>
    <w:p w14:paraId="5C952876" w14:textId="70A2A95C" w:rsidR="006F077A" w:rsidRDefault="00111350" w:rsidP="00D1538B">
      <w:pPr>
        <w:pStyle w:val="ListParagraph"/>
        <w:spacing w:before="140"/>
      </w:pPr>
      <w:r>
        <w:t xml:space="preserve">* As defined under the </w:t>
      </w:r>
      <w:r w:rsidRPr="00111350">
        <w:rPr>
          <w:i/>
        </w:rPr>
        <w:t>Workers Compensation Act 1951</w:t>
      </w:r>
      <w:r>
        <w:t xml:space="preserve"> (ACT). </w:t>
      </w:r>
    </w:p>
    <w:p w14:paraId="32018051" w14:textId="77777777" w:rsidR="002904AC" w:rsidRDefault="002904AC" w:rsidP="00D1538B">
      <w:pPr>
        <w:pStyle w:val="ListParagraph"/>
        <w:spacing w:before="140"/>
      </w:pPr>
    </w:p>
    <w:p w14:paraId="3BB7771C" w14:textId="14674CDD" w:rsidR="00827928" w:rsidRDefault="00827928" w:rsidP="007A6D8E">
      <w:pPr>
        <w:shd w:val="clear" w:color="auto" w:fill="DBE5F1" w:themeFill="accent1" w:themeFillTint="33"/>
        <w:spacing w:before="140"/>
        <w:rPr>
          <w:b/>
        </w:rPr>
      </w:pPr>
      <w:r>
        <w:rPr>
          <w:b/>
        </w:rPr>
        <w:t xml:space="preserve">Matchmaking </w:t>
      </w:r>
    </w:p>
    <w:p w14:paraId="6E22E534" w14:textId="699E841C" w:rsidR="00695FF3" w:rsidRDefault="00827928" w:rsidP="00827928">
      <w:pPr>
        <w:pStyle w:val="ListParagraph"/>
        <w:numPr>
          <w:ilvl w:val="0"/>
          <w:numId w:val="22"/>
        </w:numPr>
      </w:pPr>
      <w:r w:rsidRPr="001E569F">
        <w:t xml:space="preserve">It is the </w:t>
      </w:r>
      <w:r>
        <w:t>M</w:t>
      </w:r>
      <w:r w:rsidRPr="001E569F">
        <w:t xml:space="preserve">atchmaker’s responsibility to ensure contestants are suitably matched to compete. Considerations for suitable matches must include the </w:t>
      </w:r>
      <w:r>
        <w:t xml:space="preserve">matters outlined in </w:t>
      </w:r>
      <w:r w:rsidRPr="00000ACF">
        <w:rPr>
          <w:b/>
        </w:rPr>
        <w:t>Table 2</w:t>
      </w:r>
      <w:r>
        <w:t xml:space="preserve">. </w:t>
      </w:r>
      <w:r w:rsidRPr="001E569F">
        <w:t xml:space="preserve"> </w:t>
      </w:r>
    </w:p>
    <w:p w14:paraId="4BBFF606" w14:textId="77777777" w:rsidR="00695FF3" w:rsidRDefault="00695FF3" w:rsidP="00827928"/>
    <w:p w14:paraId="4EBB2AA7" w14:textId="7D601611" w:rsidR="00827928" w:rsidRPr="00827928" w:rsidRDefault="00827928" w:rsidP="00827928">
      <w:pPr>
        <w:ind w:left="720"/>
        <w:rPr>
          <w:b/>
        </w:rPr>
      </w:pPr>
      <w:r>
        <w:rPr>
          <w:b/>
        </w:rPr>
        <w:t>Table 2</w:t>
      </w:r>
    </w:p>
    <w:tbl>
      <w:tblPr>
        <w:tblStyle w:val="TableGrid"/>
        <w:tblW w:w="8080" w:type="dxa"/>
        <w:tblInd w:w="279" w:type="dxa"/>
        <w:tblLook w:val="04A0" w:firstRow="1" w:lastRow="0" w:firstColumn="1" w:lastColumn="0" w:noHBand="0" w:noVBand="1"/>
      </w:tblPr>
      <w:tblGrid>
        <w:gridCol w:w="4252"/>
        <w:gridCol w:w="3828"/>
      </w:tblGrid>
      <w:tr w:rsidR="00827928" w14:paraId="1290D1E7" w14:textId="77777777" w:rsidTr="00827928">
        <w:trPr>
          <w:cantSplit/>
          <w:tblHeader/>
        </w:trPr>
        <w:tc>
          <w:tcPr>
            <w:tcW w:w="4252" w:type="dxa"/>
            <w:shd w:val="clear" w:color="auto" w:fill="BFBFBF" w:themeFill="background1" w:themeFillShade="BF"/>
          </w:tcPr>
          <w:p w14:paraId="74BA18D4" w14:textId="77777777" w:rsidR="00827928" w:rsidRPr="001E569F" w:rsidRDefault="00827928" w:rsidP="0058686E">
            <w:pPr>
              <w:pStyle w:val="ListParagraph"/>
              <w:ind w:left="0"/>
              <w:rPr>
                <w:b/>
              </w:rPr>
            </w:pPr>
            <w:r w:rsidRPr="001E569F">
              <w:rPr>
                <w:b/>
              </w:rPr>
              <w:t xml:space="preserve">Consideration </w:t>
            </w:r>
          </w:p>
        </w:tc>
        <w:tc>
          <w:tcPr>
            <w:tcW w:w="3828" w:type="dxa"/>
            <w:shd w:val="clear" w:color="auto" w:fill="BFBFBF" w:themeFill="background1" w:themeFillShade="BF"/>
          </w:tcPr>
          <w:p w14:paraId="225784DD" w14:textId="77777777" w:rsidR="00827928" w:rsidRPr="001E569F" w:rsidRDefault="00827928" w:rsidP="0058686E">
            <w:pPr>
              <w:pStyle w:val="ListParagraph"/>
              <w:ind w:left="0"/>
              <w:rPr>
                <w:b/>
              </w:rPr>
            </w:pPr>
            <w:r w:rsidRPr="001E569F">
              <w:rPr>
                <w:b/>
              </w:rPr>
              <w:t xml:space="preserve">Guidance </w:t>
            </w:r>
          </w:p>
        </w:tc>
      </w:tr>
      <w:tr w:rsidR="00827928" w14:paraId="07853143" w14:textId="77777777" w:rsidTr="00827928">
        <w:tc>
          <w:tcPr>
            <w:tcW w:w="4252" w:type="dxa"/>
          </w:tcPr>
          <w:p w14:paraId="58D1468F" w14:textId="77777777" w:rsidR="00827928" w:rsidRDefault="00827928" w:rsidP="0058686E">
            <w:pPr>
              <w:pStyle w:val="ListParagraph"/>
              <w:ind w:left="0" w:firstLine="18"/>
            </w:pPr>
            <w:r>
              <w:t>E</w:t>
            </w:r>
            <w:r w:rsidRPr="001E569F">
              <w:t>xperience of each contestant in the style of combat sport proposed</w:t>
            </w:r>
          </w:p>
        </w:tc>
        <w:tc>
          <w:tcPr>
            <w:tcW w:w="3828" w:type="dxa"/>
          </w:tcPr>
          <w:p w14:paraId="6F8CCC44" w14:textId="77777777" w:rsidR="00827928" w:rsidRDefault="00827928" w:rsidP="0058686E">
            <w:pPr>
              <w:pStyle w:val="ListParagraph"/>
              <w:ind w:left="0"/>
            </w:pPr>
            <w:r>
              <w:t xml:space="preserve">Contestants have similar experience levels </w:t>
            </w:r>
          </w:p>
        </w:tc>
      </w:tr>
      <w:tr w:rsidR="00827928" w14:paraId="32BF97B9" w14:textId="77777777" w:rsidTr="00827928">
        <w:tc>
          <w:tcPr>
            <w:tcW w:w="4252" w:type="dxa"/>
            <w:shd w:val="clear" w:color="auto" w:fill="F2F2F2" w:themeFill="background1" w:themeFillShade="F2"/>
          </w:tcPr>
          <w:p w14:paraId="1BBF81D4" w14:textId="77777777" w:rsidR="00827928" w:rsidRDefault="00827928" w:rsidP="0058686E">
            <w:pPr>
              <w:pStyle w:val="ListParagraph"/>
              <w:ind w:left="0"/>
            </w:pPr>
            <w:r>
              <w:t>P</w:t>
            </w:r>
            <w:r w:rsidRPr="001E569F">
              <w:t>rior experience in other combat sporting styles</w:t>
            </w:r>
          </w:p>
        </w:tc>
        <w:tc>
          <w:tcPr>
            <w:tcW w:w="3828" w:type="dxa"/>
            <w:shd w:val="clear" w:color="auto" w:fill="F2F2F2" w:themeFill="background1" w:themeFillShade="F2"/>
          </w:tcPr>
          <w:p w14:paraId="1CE4551F" w14:textId="77777777" w:rsidR="00827928" w:rsidRDefault="00827928" w:rsidP="0058686E">
            <w:pPr>
              <w:pStyle w:val="ListParagraph"/>
              <w:ind w:left="0"/>
            </w:pPr>
            <w:r>
              <w:t xml:space="preserve">Contestant experience in other combat sporting styles with similar techniques is considered. </w:t>
            </w:r>
          </w:p>
          <w:p w14:paraId="7EA23517" w14:textId="77777777" w:rsidR="00827928" w:rsidRDefault="00827928" w:rsidP="0058686E">
            <w:pPr>
              <w:pStyle w:val="ListParagraph"/>
              <w:ind w:left="0"/>
            </w:pPr>
          </w:p>
          <w:p w14:paraId="2FDBA15A" w14:textId="77777777" w:rsidR="00827928" w:rsidRDefault="00827928" w:rsidP="0058686E">
            <w:pPr>
              <w:pStyle w:val="ListParagraph"/>
              <w:ind w:left="0"/>
            </w:pPr>
            <w:r>
              <w:t xml:space="preserve">Contestant experience in other combat sporting styles (or other sports) that do not use similar techniques is not considered as experience. </w:t>
            </w:r>
          </w:p>
          <w:p w14:paraId="17C9C60D" w14:textId="77777777" w:rsidR="00827928" w:rsidRDefault="00827928" w:rsidP="0058686E">
            <w:pPr>
              <w:pStyle w:val="ListParagraph"/>
              <w:ind w:left="0"/>
            </w:pPr>
          </w:p>
        </w:tc>
      </w:tr>
      <w:tr w:rsidR="00827928" w14:paraId="0200C4B2" w14:textId="77777777" w:rsidTr="00827928">
        <w:tc>
          <w:tcPr>
            <w:tcW w:w="4252" w:type="dxa"/>
          </w:tcPr>
          <w:p w14:paraId="7B2C541E" w14:textId="77777777" w:rsidR="00827928" w:rsidRDefault="00827928" w:rsidP="0058686E">
            <w:pPr>
              <w:pStyle w:val="ListParagraph"/>
              <w:ind w:left="0"/>
            </w:pPr>
            <w:r>
              <w:t>C</w:t>
            </w:r>
            <w:r w:rsidRPr="001E569F">
              <w:t>ontestant weight and size</w:t>
            </w:r>
          </w:p>
        </w:tc>
        <w:tc>
          <w:tcPr>
            <w:tcW w:w="3828" w:type="dxa"/>
          </w:tcPr>
          <w:p w14:paraId="6EA400C7" w14:textId="77777777" w:rsidR="00827928" w:rsidRDefault="00827928" w:rsidP="0058686E">
            <w:pPr>
              <w:pStyle w:val="ListParagraph"/>
              <w:ind w:left="0"/>
            </w:pPr>
            <w:r>
              <w:t xml:space="preserve">Contestants are of a similar weight in stated weight class ranges. </w:t>
            </w:r>
          </w:p>
          <w:p w14:paraId="24BEB221" w14:textId="77777777" w:rsidR="00827928" w:rsidRDefault="00827928" w:rsidP="0058686E">
            <w:pPr>
              <w:pStyle w:val="ListParagraph"/>
              <w:ind w:left="0"/>
            </w:pPr>
          </w:p>
          <w:p w14:paraId="42C45BC1" w14:textId="77777777" w:rsidR="00827928" w:rsidRDefault="00827928" w:rsidP="0058686E">
            <w:pPr>
              <w:pStyle w:val="ListParagraph"/>
              <w:ind w:left="0"/>
            </w:pPr>
            <w:r>
              <w:lastRenderedPageBreak/>
              <w:t xml:space="preserve">There is no significant difference in the size of contestants, such as height and stature. </w:t>
            </w:r>
          </w:p>
        </w:tc>
      </w:tr>
      <w:tr w:rsidR="00827928" w14:paraId="2FFC1F72" w14:textId="77777777" w:rsidTr="00827928">
        <w:tc>
          <w:tcPr>
            <w:tcW w:w="4252" w:type="dxa"/>
            <w:shd w:val="clear" w:color="auto" w:fill="F2F2F2" w:themeFill="background1" w:themeFillShade="F2"/>
          </w:tcPr>
          <w:p w14:paraId="7286A260" w14:textId="77777777" w:rsidR="00827928" w:rsidRDefault="00827928" w:rsidP="0058686E">
            <w:pPr>
              <w:pStyle w:val="ListParagraph"/>
              <w:ind w:left="0"/>
            </w:pPr>
            <w:r>
              <w:lastRenderedPageBreak/>
              <w:t>C</w:t>
            </w:r>
            <w:r w:rsidRPr="001E569F">
              <w:t>ontestant class or grade</w:t>
            </w:r>
          </w:p>
        </w:tc>
        <w:tc>
          <w:tcPr>
            <w:tcW w:w="3828" w:type="dxa"/>
            <w:shd w:val="clear" w:color="auto" w:fill="F2F2F2" w:themeFill="background1" w:themeFillShade="F2"/>
          </w:tcPr>
          <w:p w14:paraId="3210222E" w14:textId="77777777" w:rsidR="00827928" w:rsidRDefault="00827928" w:rsidP="0058686E">
            <w:pPr>
              <w:pStyle w:val="ListParagraph"/>
              <w:ind w:left="0"/>
            </w:pPr>
            <w:r>
              <w:t xml:space="preserve">Contestants compete in the same class or grade, except in instances where a contestant is competing to advance a class or grade. </w:t>
            </w:r>
          </w:p>
        </w:tc>
      </w:tr>
      <w:tr w:rsidR="00827928" w14:paraId="40EBB115" w14:textId="77777777" w:rsidTr="00827928">
        <w:tc>
          <w:tcPr>
            <w:tcW w:w="4252" w:type="dxa"/>
          </w:tcPr>
          <w:p w14:paraId="764F1EFE" w14:textId="77777777" w:rsidR="00827928" w:rsidRDefault="00827928" w:rsidP="0058686E">
            <w:pPr>
              <w:pStyle w:val="ListParagraph"/>
              <w:ind w:left="0"/>
            </w:pPr>
            <w:r>
              <w:t xml:space="preserve">Contestant age </w:t>
            </w:r>
          </w:p>
        </w:tc>
        <w:tc>
          <w:tcPr>
            <w:tcW w:w="3828" w:type="dxa"/>
          </w:tcPr>
          <w:p w14:paraId="5464FA85" w14:textId="35E8244A" w:rsidR="00827928" w:rsidRDefault="00827928" w:rsidP="00640CA5">
            <w:pPr>
              <w:pStyle w:val="ListParagraph"/>
              <w:ind w:left="0"/>
            </w:pPr>
            <w:r>
              <w:t>Applicable for young contestants and older contestants –factor</w:t>
            </w:r>
            <w:r w:rsidR="00506321">
              <w:t xml:space="preserve">s considered should include </w:t>
            </w:r>
            <w:r>
              <w:t>experience</w:t>
            </w:r>
            <w:r w:rsidR="00506321">
              <w:t xml:space="preserve">, physical vulnerabilities, </w:t>
            </w:r>
            <w:r>
              <w:t xml:space="preserve">and ability to defend oneself. </w:t>
            </w:r>
          </w:p>
        </w:tc>
      </w:tr>
      <w:tr w:rsidR="00827928" w14:paraId="0B665C6E" w14:textId="77777777" w:rsidTr="00827928">
        <w:tc>
          <w:tcPr>
            <w:tcW w:w="4252" w:type="dxa"/>
            <w:shd w:val="clear" w:color="auto" w:fill="F2F2F2" w:themeFill="background1" w:themeFillShade="F2"/>
          </w:tcPr>
          <w:p w14:paraId="2CF55AA2" w14:textId="77777777" w:rsidR="00827928" w:rsidRDefault="00827928" w:rsidP="0058686E">
            <w:pPr>
              <w:pStyle w:val="ListParagraph"/>
              <w:ind w:left="0"/>
            </w:pPr>
            <w:r>
              <w:t xml:space="preserve">Assurance of trainer or manager </w:t>
            </w:r>
          </w:p>
        </w:tc>
        <w:tc>
          <w:tcPr>
            <w:tcW w:w="3828" w:type="dxa"/>
            <w:shd w:val="clear" w:color="auto" w:fill="F2F2F2" w:themeFill="background1" w:themeFillShade="F2"/>
          </w:tcPr>
          <w:p w14:paraId="5BA2B0D2" w14:textId="77777777" w:rsidR="00827928" w:rsidRDefault="00827928" w:rsidP="0058686E">
            <w:pPr>
              <w:pStyle w:val="ListParagraph"/>
              <w:ind w:left="0"/>
            </w:pPr>
            <w:r>
              <w:t xml:space="preserve">Manager or trainer assurances that the contestant will be prepared for the contest and within the weight limit. </w:t>
            </w:r>
          </w:p>
        </w:tc>
      </w:tr>
    </w:tbl>
    <w:p w14:paraId="08613628" w14:textId="3160AC8F" w:rsidR="00827928" w:rsidRDefault="00B21AAC" w:rsidP="00B21AAC">
      <w:pPr>
        <w:shd w:val="clear" w:color="auto" w:fill="DBE5F1" w:themeFill="accent1" w:themeFillTint="33"/>
        <w:spacing w:before="140"/>
        <w:rPr>
          <w:b/>
        </w:rPr>
      </w:pPr>
      <w:r>
        <w:rPr>
          <w:b/>
        </w:rPr>
        <w:t xml:space="preserve">International Contestants </w:t>
      </w:r>
    </w:p>
    <w:p w14:paraId="399B21F0" w14:textId="7AC70311" w:rsidR="001E4935" w:rsidRPr="00F6514C" w:rsidRDefault="001E4935" w:rsidP="00A63693">
      <w:pPr>
        <w:pStyle w:val="ListParagraph"/>
        <w:numPr>
          <w:ilvl w:val="0"/>
          <w:numId w:val="22"/>
        </w:numPr>
      </w:pPr>
      <w:r w:rsidRPr="00F6514C">
        <w:t xml:space="preserve">International contestants must seek written authority from the </w:t>
      </w:r>
      <w:r w:rsidR="00263465">
        <w:t>ACT Registrar for Controlled Sports</w:t>
      </w:r>
      <w:r w:rsidRPr="00F6514C">
        <w:t xml:space="preserve"> to compete in a registrable event if not registered in an Australian jurisdiction under corresponding law in accordance with Section 25 (4) of the Act. </w:t>
      </w:r>
    </w:p>
    <w:p w14:paraId="0E855FCE" w14:textId="77777777" w:rsidR="001E4935" w:rsidRPr="00F6514C" w:rsidRDefault="001E4935" w:rsidP="001E4935">
      <w:pPr>
        <w:pStyle w:val="ListParagraph"/>
      </w:pPr>
    </w:p>
    <w:p w14:paraId="7E773C0F" w14:textId="1297F6D5" w:rsidR="008D39CF" w:rsidRDefault="008D39CF" w:rsidP="00A63693">
      <w:pPr>
        <w:pStyle w:val="ListParagraph"/>
        <w:numPr>
          <w:ilvl w:val="0"/>
          <w:numId w:val="22"/>
        </w:numPr>
      </w:pPr>
      <w:r w:rsidRPr="00F6514C">
        <w:t>International contestant</w:t>
      </w:r>
      <w:r w:rsidR="00695FF3" w:rsidRPr="00F6514C">
        <w:t>s must provide evidence to the R</w:t>
      </w:r>
      <w:r w:rsidRPr="00F6514C">
        <w:t xml:space="preserve">egistrar of affiliation with their home jurisdiction or local sporting body as evidence of experience. </w:t>
      </w:r>
      <w:r w:rsidR="00263465">
        <w:t xml:space="preserve">Evidence may include a letter from the contestants affiliate organisation on official letterhead, or other proof of registration. </w:t>
      </w:r>
    </w:p>
    <w:p w14:paraId="6AE517AD" w14:textId="77777777" w:rsidR="00263465" w:rsidRDefault="00263465" w:rsidP="00263465">
      <w:pPr>
        <w:pStyle w:val="ListParagraph"/>
      </w:pPr>
    </w:p>
    <w:p w14:paraId="44AE1E11" w14:textId="736CE083" w:rsidR="00263465" w:rsidRDefault="00263465" w:rsidP="00263465">
      <w:pPr>
        <w:pStyle w:val="ListParagraph"/>
        <w:numPr>
          <w:ilvl w:val="0"/>
          <w:numId w:val="22"/>
        </w:numPr>
      </w:pPr>
      <w:r>
        <w:t>Evidence specified in Clause 2</w:t>
      </w:r>
      <w:r w:rsidR="004841CC">
        <w:t>3</w:t>
      </w:r>
      <w:r>
        <w:t xml:space="preserve"> must be supplied by the promoter at least five (5) business days prior to the commencement of the first contest, unless prior agreement has been made with the ACT Registrar for Controlled Sports or their representative. </w:t>
      </w:r>
    </w:p>
    <w:p w14:paraId="7EAE4418" w14:textId="288D02B8" w:rsidR="008D39CF" w:rsidRPr="00F6514C" w:rsidRDefault="008D39CF" w:rsidP="00263465">
      <w:pPr>
        <w:pStyle w:val="ListParagraph"/>
      </w:pPr>
    </w:p>
    <w:p w14:paraId="25F3B8B4" w14:textId="10707A8B" w:rsidR="00B21AAC" w:rsidRPr="00F6514C" w:rsidRDefault="008D39CF" w:rsidP="00000ACF">
      <w:pPr>
        <w:pStyle w:val="ListParagraph"/>
        <w:numPr>
          <w:ilvl w:val="0"/>
          <w:numId w:val="22"/>
        </w:numPr>
      </w:pPr>
      <w:r w:rsidRPr="00F6514C">
        <w:t xml:space="preserve">An Australian-based medical practitioner must undertake </w:t>
      </w:r>
      <w:r w:rsidR="001E4935" w:rsidRPr="00F6514C">
        <w:t>a</w:t>
      </w:r>
      <w:r w:rsidRPr="00F6514C">
        <w:t xml:space="preserve"> cert</w:t>
      </w:r>
      <w:r w:rsidR="001E4935" w:rsidRPr="00F6514C">
        <w:t>ificate of fitness assessment for</w:t>
      </w:r>
      <w:r w:rsidRPr="00F6514C">
        <w:t xml:space="preserve"> international contestants</w:t>
      </w:r>
      <w:r w:rsidR="001E4935" w:rsidRPr="00F6514C">
        <w:t xml:space="preserve"> not registered in the ACT or under a corresponding law</w:t>
      </w:r>
      <w:r w:rsidRPr="00F6514C">
        <w:t>. The certificate of f</w:t>
      </w:r>
      <w:r w:rsidR="00695FF3" w:rsidRPr="00F6514C">
        <w:t>itness must be provided to the R</w:t>
      </w:r>
      <w:r w:rsidRPr="00F6514C">
        <w:t>egistrar</w:t>
      </w:r>
      <w:r w:rsidR="00695FF3" w:rsidRPr="00F6514C">
        <w:t xml:space="preserve"> by 12.00PM</w:t>
      </w:r>
      <w:r w:rsidRPr="00F6514C">
        <w:t xml:space="preserve"> on the last business day prior to the event taking place. </w:t>
      </w:r>
    </w:p>
    <w:p w14:paraId="0DA40FA2" w14:textId="77777777" w:rsidR="008D39CF" w:rsidRPr="00F6514C" w:rsidRDefault="008D39CF" w:rsidP="008D39CF">
      <w:pPr>
        <w:pStyle w:val="ListParagraph"/>
      </w:pPr>
    </w:p>
    <w:p w14:paraId="7E505004" w14:textId="77777777" w:rsidR="001E4935" w:rsidRPr="00F6514C" w:rsidRDefault="008D39CF" w:rsidP="00000ACF">
      <w:pPr>
        <w:pStyle w:val="ListParagraph"/>
        <w:numPr>
          <w:ilvl w:val="0"/>
          <w:numId w:val="22"/>
        </w:numPr>
      </w:pPr>
      <w:r w:rsidRPr="00F6514C">
        <w:t xml:space="preserve">The Australian-based medical practitioner undertaking the certificate of fitness assessment will undertake or request all necessary testing to determine fitness to compete. </w:t>
      </w:r>
    </w:p>
    <w:p w14:paraId="1C0262BF" w14:textId="77777777" w:rsidR="001E4935" w:rsidRPr="00F6514C" w:rsidRDefault="001E4935" w:rsidP="001E4935">
      <w:pPr>
        <w:pStyle w:val="ListParagraph"/>
      </w:pPr>
    </w:p>
    <w:p w14:paraId="580FF7AC" w14:textId="77777777" w:rsidR="001E4935" w:rsidRPr="00F6514C" w:rsidRDefault="008D39CF" w:rsidP="001E4935">
      <w:pPr>
        <w:pStyle w:val="ListParagraph"/>
        <w:numPr>
          <w:ilvl w:val="1"/>
          <w:numId w:val="22"/>
        </w:numPr>
      </w:pPr>
      <w:r w:rsidRPr="00F6514C">
        <w:t xml:space="preserve">This may include serology testing for applicants from high-risk countries for blood borne virus. </w:t>
      </w:r>
    </w:p>
    <w:p w14:paraId="1627BDAB" w14:textId="4512C1C8" w:rsidR="008D39CF" w:rsidRPr="00F6514C" w:rsidRDefault="008D39CF" w:rsidP="001E4935">
      <w:pPr>
        <w:pStyle w:val="ListParagraph"/>
        <w:numPr>
          <w:ilvl w:val="1"/>
          <w:numId w:val="22"/>
        </w:numPr>
      </w:pPr>
      <w:r w:rsidRPr="00F6514C">
        <w:t>It is at the medical practitioner’s discretion to accept</w:t>
      </w:r>
      <w:r w:rsidR="001969B1" w:rsidRPr="00F6514C">
        <w:t xml:space="preserve"> international</w:t>
      </w:r>
      <w:r w:rsidRPr="00F6514C">
        <w:t xml:space="preserve"> serology results. </w:t>
      </w:r>
    </w:p>
    <w:p w14:paraId="569ED1E6" w14:textId="77777777" w:rsidR="008D39CF" w:rsidRPr="00F6514C" w:rsidRDefault="008D39CF" w:rsidP="008D39CF">
      <w:pPr>
        <w:pStyle w:val="ListParagraph"/>
      </w:pPr>
    </w:p>
    <w:p w14:paraId="3960EE32" w14:textId="6BC114E9" w:rsidR="008D39CF" w:rsidRPr="00F6514C" w:rsidRDefault="008D39CF" w:rsidP="008D39CF">
      <w:pPr>
        <w:pStyle w:val="ListParagraph"/>
        <w:numPr>
          <w:ilvl w:val="0"/>
          <w:numId w:val="22"/>
        </w:numPr>
      </w:pPr>
      <w:r w:rsidRPr="00F6514C">
        <w:lastRenderedPageBreak/>
        <w:t xml:space="preserve">All international contestants must have completed a pre-event medical clearance and have their registration confirmed </w:t>
      </w:r>
      <w:r w:rsidR="001E4935" w:rsidRPr="00F6514C">
        <w:t xml:space="preserve">or provide evidence of exemption from registration </w:t>
      </w:r>
      <w:r w:rsidRPr="00F6514C">
        <w:t xml:space="preserve">prior to competing in a registrable event. </w:t>
      </w:r>
    </w:p>
    <w:p w14:paraId="68923AB7" w14:textId="77777777" w:rsidR="00000ACF" w:rsidRPr="00F6514C" w:rsidRDefault="00000ACF" w:rsidP="00000ACF">
      <w:pPr>
        <w:pStyle w:val="ListParagraph"/>
      </w:pPr>
    </w:p>
    <w:p w14:paraId="209C203C" w14:textId="77777777" w:rsidR="008D39CF" w:rsidRPr="00F6514C" w:rsidRDefault="008D39CF" w:rsidP="008D39CF">
      <w:pPr>
        <w:pStyle w:val="ListParagraph"/>
        <w:numPr>
          <w:ilvl w:val="0"/>
          <w:numId w:val="22"/>
        </w:numPr>
      </w:pPr>
      <w:r w:rsidRPr="00F6514C">
        <w:t xml:space="preserve">Promoters must ensure that any international contestant/s listed on the approved draw arrive with adequate time to obtain medical clearance. </w:t>
      </w:r>
    </w:p>
    <w:p w14:paraId="79F9F54A" w14:textId="77777777" w:rsidR="00C57ADF" w:rsidRPr="00C57ADF" w:rsidRDefault="00C57ADF" w:rsidP="00C57ADF">
      <w:pPr>
        <w:pStyle w:val="ListParagraph"/>
        <w:rPr>
          <w:highlight w:val="yellow"/>
        </w:rPr>
      </w:pPr>
    </w:p>
    <w:p w14:paraId="0019F8D5" w14:textId="77777777" w:rsidR="00C57ADF" w:rsidRPr="00D1538B" w:rsidRDefault="00C57ADF" w:rsidP="00C57ADF">
      <w:pPr>
        <w:shd w:val="clear" w:color="auto" w:fill="DBE5F1" w:themeFill="accent1" w:themeFillTint="33"/>
        <w:rPr>
          <w:b/>
        </w:rPr>
      </w:pPr>
      <w:r>
        <w:rPr>
          <w:b/>
        </w:rPr>
        <w:t xml:space="preserve">Weight Cutting </w:t>
      </w:r>
    </w:p>
    <w:p w14:paraId="7F6BAC83" w14:textId="77777777" w:rsidR="00C57ADF" w:rsidRDefault="00C57ADF" w:rsidP="00C57ADF">
      <w:pPr>
        <w:pStyle w:val="ListParagraph"/>
      </w:pPr>
    </w:p>
    <w:p w14:paraId="60C61314" w14:textId="77777777" w:rsidR="00C57ADF" w:rsidRDefault="00C57ADF" w:rsidP="00C57ADF">
      <w:pPr>
        <w:pStyle w:val="ListParagraph"/>
        <w:numPr>
          <w:ilvl w:val="0"/>
          <w:numId w:val="22"/>
        </w:numPr>
      </w:pPr>
      <w:r>
        <w:t xml:space="preserve">Weight cutting using excessive heat methods or fluid restriction in any form is prohibited. This includes the use of rubber suits, steam rooms, hot boxes, saunas, laxatives, diuretics, and induced vomiting. </w:t>
      </w:r>
    </w:p>
    <w:p w14:paraId="29D6C6B3" w14:textId="77777777" w:rsidR="00C57ADF" w:rsidRDefault="00C57ADF" w:rsidP="00C57ADF">
      <w:pPr>
        <w:pStyle w:val="ListParagraph"/>
      </w:pPr>
    </w:p>
    <w:p w14:paraId="2F91921A" w14:textId="77777777" w:rsidR="00C57ADF" w:rsidRDefault="00C57ADF" w:rsidP="00C57ADF">
      <w:pPr>
        <w:pStyle w:val="ListParagraph"/>
        <w:numPr>
          <w:ilvl w:val="0"/>
          <w:numId w:val="22"/>
        </w:numPr>
      </w:pPr>
      <w:r>
        <w:t xml:space="preserve">Registered officials are prohibited from encouraging weight cutting using excessive methods. </w:t>
      </w:r>
    </w:p>
    <w:p w14:paraId="7E9EB773" w14:textId="77777777" w:rsidR="00C57ADF" w:rsidRDefault="00C57ADF" w:rsidP="00C57ADF">
      <w:pPr>
        <w:pStyle w:val="ListParagraph"/>
      </w:pPr>
    </w:p>
    <w:p w14:paraId="29F0A5F9" w14:textId="77777777" w:rsidR="00C57ADF" w:rsidRDefault="00C57ADF" w:rsidP="00C57ADF">
      <w:pPr>
        <w:pStyle w:val="ListParagraph"/>
        <w:numPr>
          <w:ilvl w:val="0"/>
          <w:numId w:val="22"/>
        </w:numPr>
      </w:pPr>
      <w:r>
        <w:t xml:space="preserve">The registered medical practitioner may undertake appropriate testing as part of the pre-event medical screening to determine if a contestant is dehydrated. </w:t>
      </w:r>
    </w:p>
    <w:p w14:paraId="101C0A37" w14:textId="77777777" w:rsidR="00C57ADF" w:rsidRDefault="00C57ADF" w:rsidP="00C57ADF">
      <w:pPr>
        <w:pStyle w:val="ListParagraph"/>
      </w:pPr>
    </w:p>
    <w:p w14:paraId="1EC0A1C5" w14:textId="77777777" w:rsidR="00C57ADF" w:rsidRDefault="00C57ADF" w:rsidP="00C57ADF">
      <w:pPr>
        <w:pStyle w:val="ListParagraph"/>
        <w:numPr>
          <w:ilvl w:val="0"/>
          <w:numId w:val="22"/>
        </w:numPr>
      </w:pPr>
      <w:r>
        <w:t xml:space="preserve">Contestants must not be medically cleared to compete when excessively dehydrated.  </w:t>
      </w:r>
    </w:p>
    <w:p w14:paraId="5F0AC879" w14:textId="77777777" w:rsidR="00C57ADF" w:rsidRDefault="00C57ADF" w:rsidP="00C57ADF"/>
    <w:p w14:paraId="3BB9B5DB" w14:textId="77777777" w:rsidR="00C57ADF" w:rsidRPr="006F0561" w:rsidRDefault="00C57ADF" w:rsidP="00C57ADF">
      <w:pPr>
        <w:shd w:val="clear" w:color="auto" w:fill="DBE5F1" w:themeFill="accent1" w:themeFillTint="33"/>
        <w:rPr>
          <w:b/>
        </w:rPr>
      </w:pPr>
      <w:r w:rsidRPr="006F0561">
        <w:rPr>
          <w:b/>
        </w:rPr>
        <w:t xml:space="preserve">Doping </w:t>
      </w:r>
    </w:p>
    <w:p w14:paraId="5E825B9D" w14:textId="4371D32D" w:rsidR="00C57ADF" w:rsidRPr="00447164" w:rsidRDefault="00C57ADF" w:rsidP="00C57ADF">
      <w:pPr>
        <w:pStyle w:val="ListParagraph"/>
        <w:numPr>
          <w:ilvl w:val="0"/>
          <w:numId w:val="22"/>
        </w:numPr>
        <w:spacing w:before="140"/>
        <w:rPr>
          <w:i/>
          <w:sz w:val="20"/>
        </w:rPr>
      </w:pPr>
      <w:r>
        <w:t xml:space="preserve">The administration or use of </w:t>
      </w:r>
      <w:r w:rsidR="00EE6275">
        <w:t xml:space="preserve">prohibited </w:t>
      </w:r>
      <w:r>
        <w:t xml:space="preserve">drugs, injections or stimulants, either before or during a contest, to any contestant or by a contestant is prohibited. </w:t>
      </w:r>
      <w:r w:rsidRPr="00447164">
        <w:rPr>
          <w:i/>
          <w:sz w:val="20"/>
        </w:rPr>
        <w:t xml:space="preserve"> </w:t>
      </w:r>
    </w:p>
    <w:p w14:paraId="4A0173B2" w14:textId="77777777" w:rsidR="00C57ADF" w:rsidRDefault="00C57ADF" w:rsidP="00C57ADF">
      <w:pPr>
        <w:pStyle w:val="ListParagraph"/>
        <w:spacing w:before="140"/>
      </w:pPr>
    </w:p>
    <w:p w14:paraId="34C04F74" w14:textId="47B4ED7F" w:rsidR="00C57ADF" w:rsidRDefault="00C57ADF" w:rsidP="00C57ADF">
      <w:pPr>
        <w:pStyle w:val="ListParagraph"/>
        <w:numPr>
          <w:ilvl w:val="0"/>
          <w:numId w:val="22"/>
        </w:numPr>
      </w:pPr>
      <w:r>
        <w:t xml:space="preserve">The use of smelling salts, ammonia capsules or similar irritants </w:t>
      </w:r>
      <w:r w:rsidR="00EB30DB">
        <w:t xml:space="preserve">by contestants </w:t>
      </w:r>
      <w:r>
        <w:t>is prohibited.</w:t>
      </w:r>
    </w:p>
    <w:p w14:paraId="11905179" w14:textId="77777777" w:rsidR="00000ACF" w:rsidRPr="00B21AAC" w:rsidRDefault="00000ACF" w:rsidP="00000ACF">
      <w:pPr>
        <w:pStyle w:val="ListParagraph"/>
      </w:pPr>
    </w:p>
    <w:p w14:paraId="404F0FC5" w14:textId="0FB67EF8" w:rsidR="000D487F" w:rsidRPr="000D487F" w:rsidRDefault="000D487F" w:rsidP="007A6D8E">
      <w:pPr>
        <w:shd w:val="clear" w:color="auto" w:fill="DBE5F1" w:themeFill="accent1" w:themeFillTint="33"/>
        <w:spacing w:before="140"/>
        <w:rPr>
          <w:b/>
        </w:rPr>
      </w:pPr>
      <w:r>
        <w:rPr>
          <w:b/>
        </w:rPr>
        <w:t xml:space="preserve">Weigh-Ins </w:t>
      </w:r>
    </w:p>
    <w:p w14:paraId="04DF8CF2" w14:textId="65DBAED2" w:rsidR="000D487F" w:rsidRDefault="007E0C9B" w:rsidP="00000ACF">
      <w:pPr>
        <w:pStyle w:val="ListParagraph"/>
        <w:numPr>
          <w:ilvl w:val="0"/>
          <w:numId w:val="22"/>
        </w:numPr>
      </w:pPr>
      <w:r>
        <w:t>A single</w:t>
      </w:r>
      <w:r w:rsidR="000D487F">
        <w:t xml:space="preserve"> weigh-in must </w:t>
      </w:r>
      <w:r>
        <w:t xml:space="preserve">be </w:t>
      </w:r>
      <w:r w:rsidR="000D487F">
        <w:t xml:space="preserve">held no earlier than </w:t>
      </w:r>
      <w:r w:rsidR="00980E4C">
        <w:t xml:space="preserve">24 hours </w:t>
      </w:r>
      <w:r w:rsidR="000D487F">
        <w:t xml:space="preserve">prior to the </w:t>
      </w:r>
      <w:r w:rsidR="00980E4C">
        <w:t xml:space="preserve">start of the </w:t>
      </w:r>
      <w:r w:rsidR="000D487F">
        <w:t xml:space="preserve">event, and no later than 2 hours before the scheduled start time of the first contest.   </w:t>
      </w:r>
    </w:p>
    <w:p w14:paraId="24537571" w14:textId="77777777" w:rsidR="00980E4C" w:rsidRDefault="00980E4C" w:rsidP="00000ACF">
      <w:pPr>
        <w:pStyle w:val="ListParagraph"/>
      </w:pPr>
    </w:p>
    <w:p w14:paraId="7479A406" w14:textId="77777777" w:rsidR="00C57ADF" w:rsidRDefault="00D9759A" w:rsidP="00000ACF">
      <w:pPr>
        <w:pStyle w:val="ListParagraph"/>
        <w:numPr>
          <w:ilvl w:val="0"/>
          <w:numId w:val="22"/>
        </w:numPr>
      </w:pPr>
      <w:r>
        <w:t xml:space="preserve">If an event (or contest within the event) is postponed for more than 24 hours after the scheduled date, all contestants participating in the contests postponed must weigh-in again, no more than 24 hours prior to the start of the rescheduled event. </w:t>
      </w:r>
    </w:p>
    <w:p w14:paraId="19A318CD" w14:textId="77777777" w:rsidR="00C57ADF" w:rsidRDefault="00C57ADF" w:rsidP="00C57ADF">
      <w:pPr>
        <w:pStyle w:val="ListParagraph"/>
      </w:pPr>
      <w:bookmarkStart w:id="1" w:name="_GoBack"/>
      <w:bookmarkEnd w:id="1"/>
    </w:p>
    <w:p w14:paraId="15D17D83" w14:textId="06B8AB33" w:rsidR="00D9759A" w:rsidRPr="00C57ADF" w:rsidRDefault="00C57ADF" w:rsidP="00C57ADF">
      <w:pPr>
        <w:pStyle w:val="ListParagraph"/>
        <w:rPr>
          <w:i/>
          <w:sz w:val="22"/>
        </w:rPr>
      </w:pPr>
      <w:r w:rsidRPr="00F6514C">
        <w:rPr>
          <w:i/>
          <w:sz w:val="22"/>
        </w:rPr>
        <w:t>Note: To avoid doubt, a rescheduled event that requires a second weigh-in, is still classed as a ‘single weigh-in’ for the purposes of this code of practice.</w:t>
      </w:r>
      <w:r w:rsidRPr="00C57ADF">
        <w:rPr>
          <w:i/>
          <w:sz w:val="22"/>
        </w:rPr>
        <w:t xml:space="preserve"> </w:t>
      </w:r>
    </w:p>
    <w:p w14:paraId="1746F9DB" w14:textId="77777777" w:rsidR="00C57ADF" w:rsidRDefault="00C57ADF" w:rsidP="00C57ADF"/>
    <w:p w14:paraId="1CFC549E" w14:textId="77777777" w:rsidR="00C57ADF" w:rsidRDefault="00C57ADF" w:rsidP="00C57ADF">
      <w:pPr>
        <w:pStyle w:val="ListParagraph"/>
        <w:numPr>
          <w:ilvl w:val="0"/>
          <w:numId w:val="22"/>
        </w:numPr>
      </w:pPr>
      <w:r>
        <w:t xml:space="preserve">Only one weigh-in attempt is permitted. </w:t>
      </w:r>
    </w:p>
    <w:p w14:paraId="76188A75" w14:textId="77777777" w:rsidR="000D487F" w:rsidRDefault="000D487F" w:rsidP="00000ACF">
      <w:pPr>
        <w:pStyle w:val="ListParagraph"/>
      </w:pPr>
    </w:p>
    <w:p w14:paraId="0F2EDD49" w14:textId="113DB336" w:rsidR="000D487F" w:rsidRPr="00F6514C" w:rsidRDefault="00D1538B" w:rsidP="00000ACF">
      <w:pPr>
        <w:pStyle w:val="ListParagraph"/>
        <w:numPr>
          <w:ilvl w:val="0"/>
          <w:numId w:val="22"/>
        </w:numPr>
      </w:pPr>
      <w:r>
        <w:t>All contestants</w:t>
      </w:r>
      <w:r w:rsidR="00C57ADF">
        <w:t xml:space="preserve">, </w:t>
      </w:r>
      <w:r w:rsidR="00C57ADF" w:rsidRPr="00F6514C">
        <w:t>including substitute contestants,</w:t>
      </w:r>
      <w:r w:rsidR="000D487F" w:rsidRPr="00F6514C">
        <w:t xml:space="preserve"> must attend the weigh-in on time and be weighed on the same set of scales.</w:t>
      </w:r>
      <w:r w:rsidR="00C57ADF" w:rsidRPr="00F6514C">
        <w:t xml:space="preserve"> Contestants not weighed </w:t>
      </w:r>
      <w:r w:rsidR="00992353" w:rsidRPr="00F6514C">
        <w:t>are</w:t>
      </w:r>
      <w:r w:rsidR="00C57ADF" w:rsidRPr="00F6514C">
        <w:t xml:space="preserve"> not be permitted to compete.  </w:t>
      </w:r>
    </w:p>
    <w:p w14:paraId="5D543B4E" w14:textId="77777777" w:rsidR="00895F5E" w:rsidRDefault="00895F5E" w:rsidP="00000ACF">
      <w:pPr>
        <w:pStyle w:val="ListParagraph"/>
      </w:pPr>
    </w:p>
    <w:p w14:paraId="690E1BFA" w14:textId="2A7968BF" w:rsidR="00895F5E" w:rsidRDefault="00895F5E" w:rsidP="00000ACF">
      <w:pPr>
        <w:pStyle w:val="ListParagraph"/>
        <w:numPr>
          <w:ilvl w:val="0"/>
          <w:numId w:val="22"/>
        </w:numPr>
      </w:pPr>
      <w:r>
        <w:lastRenderedPageBreak/>
        <w:t xml:space="preserve">Pre-testing of contestant weights on the official scales at the weigh-in is not permitted. </w:t>
      </w:r>
    </w:p>
    <w:p w14:paraId="02CF18A2" w14:textId="77777777" w:rsidR="000D487F" w:rsidRDefault="000D487F" w:rsidP="00000ACF">
      <w:pPr>
        <w:pStyle w:val="ListParagraph"/>
      </w:pPr>
    </w:p>
    <w:p w14:paraId="51CA2228" w14:textId="37CE9D09" w:rsidR="000D487F" w:rsidRDefault="000D487F" w:rsidP="00000ACF">
      <w:pPr>
        <w:pStyle w:val="ListParagraph"/>
        <w:numPr>
          <w:ilvl w:val="0"/>
          <w:numId w:val="22"/>
        </w:numPr>
      </w:pPr>
      <w:r>
        <w:t xml:space="preserve">Contestants must weigh-in wearing only underwear (including a sports bra or </w:t>
      </w:r>
      <w:r w:rsidR="00D1538B">
        <w:t>similar</w:t>
      </w:r>
      <w:r>
        <w:t xml:space="preserve">) and/or shorts or attire </w:t>
      </w:r>
      <w:r w:rsidR="00E74174">
        <w:t>or</w:t>
      </w:r>
      <w:r>
        <w:t xml:space="preserve"> otherwise approved by the </w:t>
      </w:r>
      <w:r w:rsidR="00771B8D">
        <w:t xml:space="preserve">ACT Registrar for Controlled Sports. </w:t>
      </w:r>
      <w:r w:rsidR="00D9759A">
        <w:t>To avoid doubt, no shoes</w:t>
      </w:r>
      <w:r w:rsidR="007E0C9B">
        <w:t xml:space="preserve"> or socks</w:t>
      </w:r>
      <w:r w:rsidR="00D9759A">
        <w:t xml:space="preserve"> are permitted to be worn on the scales when a contestant is being weighed. </w:t>
      </w:r>
    </w:p>
    <w:p w14:paraId="49A97DAD" w14:textId="77777777" w:rsidR="00771B8D" w:rsidRDefault="00771B8D" w:rsidP="00000ACF">
      <w:pPr>
        <w:pStyle w:val="ListParagraph"/>
      </w:pPr>
    </w:p>
    <w:p w14:paraId="26274574" w14:textId="7C21507A" w:rsidR="00263465" w:rsidRDefault="000D487F" w:rsidP="00263465">
      <w:pPr>
        <w:pStyle w:val="ListParagraph"/>
        <w:numPr>
          <w:ilvl w:val="0"/>
          <w:numId w:val="22"/>
        </w:numPr>
      </w:pPr>
      <w:r>
        <w:t xml:space="preserve">The ACT </w:t>
      </w:r>
      <w:r w:rsidR="000E1BA8">
        <w:t>Registrar for Controlled Sports or their representative</w:t>
      </w:r>
      <w:r>
        <w:t xml:space="preserve"> must be supplied with the details of the weigh-in including the time, date and location</w:t>
      </w:r>
      <w:r w:rsidR="00263465">
        <w:t xml:space="preserve"> at least five (5) business days prior to the scheduled weigh-in, unless prior agreement has been made with the ACT Registrar for Controlled Sports or their representative. </w:t>
      </w:r>
    </w:p>
    <w:p w14:paraId="3E055378" w14:textId="4BA049E8" w:rsidR="001E569F" w:rsidRDefault="000D487F" w:rsidP="00263465">
      <w:pPr>
        <w:pStyle w:val="ListParagraph"/>
      </w:pPr>
      <w:r>
        <w:t xml:space="preserve"> </w:t>
      </w:r>
    </w:p>
    <w:p w14:paraId="6B37592E" w14:textId="77777777" w:rsidR="006F0561" w:rsidRDefault="006F0561" w:rsidP="000D487F"/>
    <w:p w14:paraId="79745570" w14:textId="3AC1BC70" w:rsidR="00F21028" w:rsidRPr="006F0561" w:rsidRDefault="003D4F88" w:rsidP="006F0561">
      <w:pPr>
        <w:shd w:val="clear" w:color="auto" w:fill="DBE5F1" w:themeFill="accent1" w:themeFillTint="33"/>
        <w:rPr>
          <w:b/>
        </w:rPr>
      </w:pPr>
      <w:r w:rsidRPr="003D4F88">
        <w:rPr>
          <w:b/>
        </w:rPr>
        <w:t xml:space="preserve">Pre-event medical requirements </w:t>
      </w:r>
    </w:p>
    <w:p w14:paraId="0976DB43" w14:textId="251964D0" w:rsidR="003D4F88" w:rsidRDefault="003D4F88" w:rsidP="007C48A3">
      <w:pPr>
        <w:pStyle w:val="ListParagraph"/>
        <w:numPr>
          <w:ilvl w:val="0"/>
          <w:numId w:val="22"/>
        </w:numPr>
      </w:pPr>
      <w:r>
        <w:t xml:space="preserve">All registered contestants </w:t>
      </w:r>
      <w:r w:rsidR="008E4BA1">
        <w:t xml:space="preserve">must have </w:t>
      </w:r>
      <w:r>
        <w:t xml:space="preserve">completed a pre-event medical clearance and have their registration confirmed </w:t>
      </w:r>
      <w:r w:rsidR="00263465">
        <w:t xml:space="preserve">by the registered medical practitioner </w:t>
      </w:r>
      <w:r>
        <w:t>prior to competing in a regist</w:t>
      </w:r>
      <w:r w:rsidR="0058686E">
        <w:t>rable</w:t>
      </w:r>
      <w:r>
        <w:t xml:space="preserve"> event. </w:t>
      </w:r>
    </w:p>
    <w:p w14:paraId="2FC65595" w14:textId="77777777" w:rsidR="003D4F88" w:rsidRDefault="003D4F88" w:rsidP="007C48A3">
      <w:pPr>
        <w:pStyle w:val="ListParagraph"/>
      </w:pPr>
    </w:p>
    <w:p w14:paraId="66CE1077" w14:textId="179A7676" w:rsidR="003D4F88" w:rsidRDefault="003D4F88" w:rsidP="007C48A3">
      <w:pPr>
        <w:pStyle w:val="ListParagraph"/>
        <w:numPr>
          <w:ilvl w:val="0"/>
          <w:numId w:val="22"/>
        </w:numPr>
      </w:pPr>
      <w:r>
        <w:t>A registered m</w:t>
      </w:r>
      <w:r w:rsidRPr="00FB4165">
        <w:t>edical practitioner must undertake a pre-</w:t>
      </w:r>
      <w:r>
        <w:t>event</w:t>
      </w:r>
      <w:r w:rsidRPr="00FB4165">
        <w:t xml:space="preserve"> medical </w:t>
      </w:r>
      <w:r>
        <w:t xml:space="preserve">clearance </w:t>
      </w:r>
      <w:r w:rsidRPr="00FB4165">
        <w:t xml:space="preserve">examination </w:t>
      </w:r>
      <w:r>
        <w:t>for</w:t>
      </w:r>
      <w:r w:rsidRPr="007C48A3">
        <w:rPr>
          <w:b/>
        </w:rPr>
        <w:t xml:space="preserve"> each contestant</w:t>
      </w:r>
      <w:r>
        <w:t xml:space="preserve"> </w:t>
      </w:r>
      <w:r w:rsidRPr="00FB4165">
        <w:t xml:space="preserve">no </w:t>
      </w:r>
      <w:r w:rsidR="007A6D8E">
        <w:t>earlier</w:t>
      </w:r>
      <w:r w:rsidRPr="00FB4165">
        <w:t xml:space="preserve"> than 48 hours prior to the commencement of the event. This must be recorded in accordance with the medical reporting requirements prescribed in regulation.</w:t>
      </w:r>
    </w:p>
    <w:p w14:paraId="1724D2D4" w14:textId="77777777" w:rsidR="0068570E" w:rsidRDefault="0068570E" w:rsidP="0068570E">
      <w:pPr>
        <w:pStyle w:val="ListParagraph"/>
      </w:pPr>
    </w:p>
    <w:p w14:paraId="1BBF5B78" w14:textId="642DD395" w:rsidR="0068570E" w:rsidRPr="00F6514C" w:rsidRDefault="0068570E" w:rsidP="0068570E">
      <w:pPr>
        <w:pStyle w:val="ListParagraph"/>
        <w:numPr>
          <w:ilvl w:val="1"/>
          <w:numId w:val="22"/>
        </w:numPr>
      </w:pPr>
      <w:r w:rsidRPr="00F6514C">
        <w:t xml:space="preserve">Substitutes that compete must also have pre-event medical clearance completed before competing. </w:t>
      </w:r>
    </w:p>
    <w:p w14:paraId="0A5A8F2F" w14:textId="77777777" w:rsidR="003D4F88" w:rsidRDefault="003D4F88" w:rsidP="003D4F88">
      <w:pPr>
        <w:pStyle w:val="ListParagraph"/>
        <w:spacing w:before="140"/>
      </w:pPr>
    </w:p>
    <w:p w14:paraId="4F33AB68" w14:textId="03127A94" w:rsidR="003D4F88" w:rsidRDefault="003D4F88" w:rsidP="007C48A3">
      <w:pPr>
        <w:pStyle w:val="ListParagraph"/>
        <w:numPr>
          <w:ilvl w:val="0"/>
          <w:numId w:val="22"/>
        </w:numPr>
      </w:pPr>
      <w:r w:rsidRPr="00C134A6">
        <w:t xml:space="preserve">If </w:t>
      </w:r>
      <w:r>
        <w:t xml:space="preserve">an </w:t>
      </w:r>
      <w:r w:rsidRPr="00C134A6">
        <w:t>event is</w:t>
      </w:r>
      <w:r>
        <w:t xml:space="preserve"> held</w:t>
      </w:r>
      <w:r w:rsidRPr="00C134A6">
        <w:t xml:space="preserve"> over two </w:t>
      </w:r>
      <w:r>
        <w:t>separate</w:t>
      </w:r>
      <w:r w:rsidRPr="00C134A6">
        <w:t xml:space="preserve"> days</w:t>
      </w:r>
      <w:r>
        <w:t xml:space="preserve"> </w:t>
      </w:r>
      <w:r w:rsidR="00552A09">
        <w:t xml:space="preserve">or more </w:t>
      </w:r>
      <w:r>
        <w:t>(including consecutive days)</w:t>
      </w:r>
      <w:r w:rsidRPr="00C134A6">
        <w:t>, pre-event medical</w:t>
      </w:r>
      <w:r>
        <w:t xml:space="preserve"> clearance checks</w:t>
      </w:r>
      <w:r w:rsidRPr="00C134A6">
        <w:t xml:space="preserve"> must be conducted for </w:t>
      </w:r>
      <w:r w:rsidRPr="007C48A3">
        <w:rPr>
          <w:b/>
        </w:rPr>
        <w:t>each contestant</w:t>
      </w:r>
      <w:r w:rsidRPr="00C134A6">
        <w:t xml:space="preserve"> on </w:t>
      </w:r>
      <w:r w:rsidRPr="007C48A3">
        <w:rPr>
          <w:b/>
        </w:rPr>
        <w:t>each day</w:t>
      </w:r>
      <w:r>
        <w:t xml:space="preserve"> they </w:t>
      </w:r>
      <w:r w:rsidR="00C068B8">
        <w:t xml:space="preserve">are scheduled to </w:t>
      </w:r>
      <w:r>
        <w:t xml:space="preserve">compete. To avoid further doubt, </w:t>
      </w:r>
      <w:r w:rsidRPr="00C134A6">
        <w:t xml:space="preserve">if </w:t>
      </w:r>
      <w:r>
        <w:t xml:space="preserve">the contestant is competing in more than one contest, a pre-event medical clearance must be completed for each occasion the person is competing. </w:t>
      </w:r>
    </w:p>
    <w:p w14:paraId="0C438A81" w14:textId="77777777" w:rsidR="003D4F88" w:rsidRPr="00F176B9" w:rsidRDefault="003D4F88" w:rsidP="003D4F88">
      <w:pPr>
        <w:pStyle w:val="ListParagraph"/>
        <w:rPr>
          <w:sz w:val="22"/>
        </w:rPr>
      </w:pPr>
    </w:p>
    <w:p w14:paraId="1625228D" w14:textId="5B4F3240" w:rsidR="003D4F88" w:rsidRPr="00F176B9" w:rsidRDefault="003D4F88" w:rsidP="003D4F88">
      <w:pPr>
        <w:pStyle w:val="ListParagraph"/>
        <w:rPr>
          <w:i/>
          <w:sz w:val="22"/>
        </w:rPr>
      </w:pPr>
      <w:r w:rsidRPr="00F176B9">
        <w:rPr>
          <w:i/>
          <w:sz w:val="22"/>
        </w:rPr>
        <w:t xml:space="preserve">Example: a boxing event is held over Saturday and Sunday. Contestants compete on Saturday for a place in the finals on Sunday. Finalists all compete again on Sunday. </w:t>
      </w:r>
      <w:r w:rsidR="00552A09">
        <w:rPr>
          <w:i/>
          <w:sz w:val="22"/>
        </w:rPr>
        <w:t>Finalist</w:t>
      </w:r>
      <w:r w:rsidRPr="00F176B9">
        <w:rPr>
          <w:i/>
          <w:sz w:val="22"/>
        </w:rPr>
        <w:t xml:space="preserve"> contestants</w:t>
      </w:r>
      <w:r w:rsidR="00552A09">
        <w:rPr>
          <w:i/>
          <w:sz w:val="22"/>
        </w:rPr>
        <w:t xml:space="preserve"> therefore</w:t>
      </w:r>
      <w:r w:rsidRPr="00F176B9">
        <w:rPr>
          <w:i/>
          <w:sz w:val="22"/>
        </w:rPr>
        <w:t xml:space="preserve"> must have pre-event medical clearances</w:t>
      </w:r>
      <w:r w:rsidR="002C78AD">
        <w:rPr>
          <w:i/>
          <w:sz w:val="22"/>
        </w:rPr>
        <w:t xml:space="preserve"> on each day of competition</w:t>
      </w:r>
      <w:r w:rsidRPr="00F176B9">
        <w:rPr>
          <w:i/>
          <w:sz w:val="22"/>
        </w:rPr>
        <w:t xml:space="preserve">. </w:t>
      </w:r>
    </w:p>
    <w:p w14:paraId="38F1EE74" w14:textId="77777777" w:rsidR="000D487F" w:rsidRDefault="000D487F" w:rsidP="00997737">
      <w:pPr>
        <w:rPr>
          <w:b/>
        </w:rPr>
      </w:pPr>
    </w:p>
    <w:p w14:paraId="330D7242" w14:textId="14CC1D1D" w:rsidR="00997737" w:rsidRPr="00997737" w:rsidRDefault="00997737" w:rsidP="007A6D8E">
      <w:pPr>
        <w:shd w:val="clear" w:color="auto" w:fill="DBE5F1" w:themeFill="accent1" w:themeFillTint="33"/>
        <w:rPr>
          <w:b/>
        </w:rPr>
      </w:pPr>
      <w:r w:rsidRPr="00997737">
        <w:rPr>
          <w:b/>
        </w:rPr>
        <w:t xml:space="preserve">Medical requirements for events </w:t>
      </w:r>
    </w:p>
    <w:p w14:paraId="63C1BA9A" w14:textId="36A81EF0" w:rsidR="00E36CBB" w:rsidRPr="00F6514C" w:rsidRDefault="00E36CBB" w:rsidP="00F6514C">
      <w:pPr>
        <w:pStyle w:val="ListParagraph"/>
        <w:numPr>
          <w:ilvl w:val="0"/>
          <w:numId w:val="22"/>
        </w:numPr>
      </w:pPr>
      <w:r>
        <w:t xml:space="preserve">The </w:t>
      </w:r>
      <w:r w:rsidR="00DD4933">
        <w:t>Registered M</w:t>
      </w:r>
      <w:r>
        <w:t xml:space="preserve">edical </w:t>
      </w:r>
      <w:r w:rsidR="00DD4933">
        <w:t>P</w:t>
      </w:r>
      <w:r>
        <w:t>ractitioner is responsible for supplying all necessary medical equipment</w:t>
      </w:r>
      <w:r w:rsidR="003C42DB">
        <w:t xml:space="preserve">. </w:t>
      </w:r>
      <w:r w:rsidR="003C42DB" w:rsidRPr="00F6514C">
        <w:t>The following equipment must be supplied (additional equipment is at the Registered Medical Practitioner’s discretion):</w:t>
      </w:r>
      <w:r w:rsidRPr="00F6514C">
        <w:t xml:space="preserve"> </w:t>
      </w:r>
    </w:p>
    <w:p w14:paraId="1A209225" w14:textId="77777777" w:rsidR="00E36CBB" w:rsidRPr="00F6514C" w:rsidRDefault="00E36CBB" w:rsidP="00E36CBB">
      <w:pPr>
        <w:pStyle w:val="ListParagraph"/>
        <w:spacing w:before="140"/>
      </w:pPr>
    </w:p>
    <w:p w14:paraId="6E935401" w14:textId="77777777" w:rsidR="00E36CBB" w:rsidRPr="00F6514C" w:rsidRDefault="00E36CBB" w:rsidP="00E36CBB">
      <w:pPr>
        <w:pStyle w:val="ListParagraph"/>
        <w:numPr>
          <w:ilvl w:val="0"/>
          <w:numId w:val="14"/>
        </w:numPr>
        <w:spacing w:before="140"/>
      </w:pPr>
      <w:r w:rsidRPr="00F6514C">
        <w:t xml:space="preserve">basic doctor’s bag kits, including disposable gloves and gauze swabs </w:t>
      </w:r>
    </w:p>
    <w:p w14:paraId="250A9DE8" w14:textId="77777777" w:rsidR="00E36CBB" w:rsidRPr="00F6514C" w:rsidRDefault="00E36CBB" w:rsidP="00E36CBB">
      <w:pPr>
        <w:pStyle w:val="ListParagraph"/>
        <w:numPr>
          <w:ilvl w:val="0"/>
          <w:numId w:val="14"/>
        </w:numPr>
        <w:spacing w:before="140"/>
      </w:pPr>
      <w:r w:rsidRPr="00F6514C">
        <w:t xml:space="preserve">auriscope and opthalmoscope </w:t>
      </w:r>
    </w:p>
    <w:p w14:paraId="2358845B" w14:textId="77777777" w:rsidR="00E36CBB" w:rsidRPr="00F6514C" w:rsidRDefault="00E36CBB" w:rsidP="00E36CBB">
      <w:pPr>
        <w:pStyle w:val="ListParagraph"/>
        <w:numPr>
          <w:ilvl w:val="0"/>
          <w:numId w:val="14"/>
        </w:numPr>
        <w:spacing w:before="140"/>
      </w:pPr>
      <w:r w:rsidRPr="00F6514C">
        <w:t xml:space="preserve">airway support equipment </w:t>
      </w:r>
    </w:p>
    <w:p w14:paraId="15DA5DF2" w14:textId="77777777" w:rsidR="00E36CBB" w:rsidRPr="00F6514C" w:rsidRDefault="00E36CBB" w:rsidP="00E36CBB">
      <w:pPr>
        <w:pStyle w:val="ListParagraph"/>
        <w:numPr>
          <w:ilvl w:val="0"/>
          <w:numId w:val="14"/>
        </w:numPr>
        <w:spacing w:before="140"/>
      </w:pPr>
      <w:r w:rsidRPr="00F6514C">
        <w:t xml:space="preserve">oxy-viva mask </w:t>
      </w:r>
    </w:p>
    <w:p w14:paraId="7552B9F1" w14:textId="77777777" w:rsidR="00E36CBB" w:rsidRPr="00F6514C" w:rsidRDefault="00E36CBB" w:rsidP="00E36CBB">
      <w:pPr>
        <w:pStyle w:val="ListParagraph"/>
        <w:numPr>
          <w:ilvl w:val="0"/>
          <w:numId w:val="14"/>
        </w:numPr>
        <w:spacing w:before="140"/>
      </w:pPr>
      <w:r w:rsidRPr="00F6514C">
        <w:t>oxygen</w:t>
      </w:r>
    </w:p>
    <w:p w14:paraId="6494D7BD" w14:textId="2216262E" w:rsidR="003C42DB" w:rsidRPr="00F6514C" w:rsidRDefault="003C42DB" w:rsidP="00E36CBB">
      <w:pPr>
        <w:pStyle w:val="ListParagraph"/>
        <w:numPr>
          <w:ilvl w:val="0"/>
          <w:numId w:val="14"/>
        </w:numPr>
        <w:spacing w:before="140"/>
      </w:pPr>
      <w:r w:rsidRPr="00F6514C">
        <w:t xml:space="preserve">defibrillator </w:t>
      </w:r>
    </w:p>
    <w:p w14:paraId="01B45920" w14:textId="77777777" w:rsidR="00E36CBB" w:rsidRDefault="00E36CBB" w:rsidP="00E36CBB">
      <w:pPr>
        <w:pStyle w:val="ListParagraph"/>
        <w:spacing w:before="140"/>
        <w:ind w:left="1440"/>
      </w:pPr>
    </w:p>
    <w:p w14:paraId="7ECBDCCA" w14:textId="10C3A82C" w:rsidR="00E36CBB" w:rsidRDefault="003C42DB" w:rsidP="007C48A3">
      <w:pPr>
        <w:pStyle w:val="ListParagraph"/>
        <w:numPr>
          <w:ilvl w:val="0"/>
          <w:numId w:val="22"/>
        </w:numPr>
      </w:pPr>
      <w:r>
        <w:t>Two spinal boards</w:t>
      </w:r>
      <w:r w:rsidR="00E36CBB" w:rsidRPr="00FB4165">
        <w:t xml:space="preserve"> must be</w:t>
      </w:r>
      <w:r>
        <w:t xml:space="preserve"> supplied. At least one spinal board must be</w:t>
      </w:r>
      <w:r w:rsidR="00E36CBB" w:rsidRPr="00FB4165">
        <w:t xml:space="preserve"> located next to the contest area for the duration of each </w:t>
      </w:r>
      <w:r w:rsidR="00E36CBB">
        <w:t xml:space="preserve">event. </w:t>
      </w:r>
      <w:r w:rsidR="00552A09">
        <w:t xml:space="preserve">Where applicable, this should be located next to the ‘red corner’. </w:t>
      </w:r>
    </w:p>
    <w:p w14:paraId="19545FE0" w14:textId="77777777" w:rsidR="00E36CBB" w:rsidRDefault="00E36CBB" w:rsidP="003C42DB"/>
    <w:p w14:paraId="1F859C16" w14:textId="5A3D4937" w:rsidR="00E36CBB" w:rsidRDefault="00E36CBB" w:rsidP="007C48A3">
      <w:pPr>
        <w:pStyle w:val="ListParagraph"/>
        <w:numPr>
          <w:ilvl w:val="0"/>
          <w:numId w:val="22"/>
        </w:numPr>
      </w:pPr>
      <w:r>
        <w:t xml:space="preserve">An adult person must be nominated </w:t>
      </w:r>
      <w:r w:rsidR="00263465">
        <w:t xml:space="preserve">by the promoter </w:t>
      </w:r>
      <w:r>
        <w:t xml:space="preserve">to call emergency services if required. This person must remain next to the contest area during each contest in an event and during any medical emergency. The medical practitioner and the nominated person must agree on a clear, pre-determined means, whether by hand signal or other method, by which the </w:t>
      </w:r>
      <w:r w:rsidR="00DD4933">
        <w:t>Registered Medical P</w:t>
      </w:r>
      <w:r>
        <w:t xml:space="preserve">ractitioner will instruct the person to contact emergency services. The nominated person must know the name and street address of the venue, and be aware of the evacuation route for ambulance staff to remove an injured contestant from the venue. </w:t>
      </w:r>
    </w:p>
    <w:p w14:paraId="63EA6673" w14:textId="490080E3" w:rsidR="00997737" w:rsidRDefault="00997737" w:rsidP="003C42DB"/>
    <w:p w14:paraId="32692C16" w14:textId="5A7A552F" w:rsidR="00997737" w:rsidRDefault="00997737" w:rsidP="007C48A3">
      <w:pPr>
        <w:pStyle w:val="ListParagraph"/>
        <w:numPr>
          <w:ilvl w:val="0"/>
          <w:numId w:val="22"/>
        </w:numPr>
      </w:pPr>
      <w:r>
        <w:t>A</w:t>
      </w:r>
      <w:r w:rsidRPr="00FB4165">
        <w:t xml:space="preserve"> contest can only commence or continue when a </w:t>
      </w:r>
      <w:r w:rsidR="00B375D4">
        <w:t>r</w:t>
      </w:r>
      <w:r w:rsidR="00DD4933">
        <w:t>egistered M</w:t>
      </w:r>
      <w:r w:rsidRPr="00FB4165">
        <w:t xml:space="preserve">edical </w:t>
      </w:r>
      <w:r w:rsidR="00DD4933">
        <w:t>P</w:t>
      </w:r>
      <w:r w:rsidRPr="00FB4165">
        <w:t xml:space="preserve">ractitioner is at contest side. To avoid further doubt, a specific contest within an event cannot commence or continue unless the </w:t>
      </w:r>
      <w:r w:rsidR="00B375D4">
        <w:t>Registered M</w:t>
      </w:r>
      <w:r w:rsidRPr="00FB4165">
        <w:t xml:space="preserve">edical </w:t>
      </w:r>
      <w:r w:rsidR="00B375D4">
        <w:t>P</w:t>
      </w:r>
      <w:r w:rsidRPr="00FB4165">
        <w:t>ractitioner is present to monitor the safety and wellbeing of</w:t>
      </w:r>
      <w:r>
        <w:t xml:space="preserve"> the</w:t>
      </w:r>
      <w:r w:rsidRPr="00FB4165">
        <w:t xml:space="preserve"> competing contestants.</w:t>
      </w:r>
    </w:p>
    <w:p w14:paraId="07CD0776" w14:textId="77777777" w:rsidR="00997737" w:rsidRDefault="00997737" w:rsidP="007C48A3">
      <w:pPr>
        <w:pStyle w:val="ListParagraph"/>
      </w:pPr>
    </w:p>
    <w:p w14:paraId="5FA3E792" w14:textId="0FA53DEA" w:rsidR="00997737" w:rsidRDefault="00997737" w:rsidP="007C48A3">
      <w:pPr>
        <w:pStyle w:val="ListParagraph"/>
        <w:numPr>
          <w:ilvl w:val="0"/>
          <w:numId w:val="22"/>
        </w:numPr>
      </w:pPr>
      <w:r>
        <w:t xml:space="preserve">Before the event commences, the </w:t>
      </w:r>
      <w:r w:rsidR="00B375D4">
        <w:t>registered M</w:t>
      </w:r>
      <w:r>
        <w:t xml:space="preserve">edical </w:t>
      </w:r>
      <w:r w:rsidR="00B375D4">
        <w:t>P</w:t>
      </w:r>
      <w:r>
        <w:t xml:space="preserve">ractitioner/s and </w:t>
      </w:r>
      <w:r w:rsidR="00B375D4">
        <w:t>r</w:t>
      </w:r>
      <w:r>
        <w:t>eferee must agree on a clear, pre-determined means, whether by bell, hammer</w:t>
      </w:r>
      <w:r w:rsidR="00615A05">
        <w:t>,</w:t>
      </w:r>
      <w:r>
        <w:t xml:space="preserve"> </w:t>
      </w:r>
      <w:r w:rsidR="00615A05">
        <w:t xml:space="preserve">air horn, </w:t>
      </w:r>
      <w:r>
        <w:t xml:space="preserve">or prescribed hand signal or another method, by which the medical practitioner can: </w:t>
      </w:r>
    </w:p>
    <w:p w14:paraId="2DF7C49A" w14:textId="77777777" w:rsidR="00997737" w:rsidRDefault="00997737" w:rsidP="00997737">
      <w:pPr>
        <w:pStyle w:val="ListParagraph"/>
        <w:spacing w:before="140"/>
      </w:pPr>
    </w:p>
    <w:p w14:paraId="07617EB6" w14:textId="69A76E3E" w:rsidR="00997737" w:rsidRDefault="00997737" w:rsidP="00F21028">
      <w:pPr>
        <w:pStyle w:val="ListParagraph"/>
        <w:numPr>
          <w:ilvl w:val="1"/>
          <w:numId w:val="17"/>
        </w:numPr>
        <w:spacing w:before="140"/>
      </w:pPr>
      <w:r>
        <w:t xml:space="preserve">Indicate the need for or desirability of a medical examination of a contestant during the contest; or </w:t>
      </w:r>
    </w:p>
    <w:p w14:paraId="09CAD821" w14:textId="06E90B1A" w:rsidR="00F21028" w:rsidRDefault="00997737" w:rsidP="00E36CBB">
      <w:pPr>
        <w:pStyle w:val="ListParagraph"/>
        <w:numPr>
          <w:ilvl w:val="1"/>
          <w:numId w:val="17"/>
        </w:numPr>
        <w:spacing w:before="140"/>
      </w:pPr>
      <w:r>
        <w:t xml:space="preserve">Stop the contest. </w:t>
      </w:r>
      <w:r w:rsidR="00615A05">
        <w:br/>
      </w:r>
    </w:p>
    <w:p w14:paraId="2217E894" w14:textId="1C231054" w:rsidR="00F21028" w:rsidRDefault="00F21028" w:rsidP="007C48A3">
      <w:pPr>
        <w:pStyle w:val="ListParagraph"/>
        <w:numPr>
          <w:ilvl w:val="0"/>
          <w:numId w:val="22"/>
        </w:numPr>
      </w:pPr>
      <w:r>
        <w:t xml:space="preserve">The referee must confer with the medical practitioner about the need for a medical examination following any round in which a contestant receives a significant number of heavy blows to the head or appears to be suffering from signs or symptoms consistent with concussion or other head injury. </w:t>
      </w:r>
    </w:p>
    <w:p w14:paraId="39C0F830" w14:textId="77777777" w:rsidR="00997737" w:rsidRDefault="00997737" w:rsidP="00C561DD">
      <w:pPr>
        <w:pStyle w:val="ListParagraph"/>
      </w:pPr>
    </w:p>
    <w:p w14:paraId="134FF8B1" w14:textId="693264EB" w:rsidR="00715658" w:rsidRDefault="00997737" w:rsidP="00A63693">
      <w:pPr>
        <w:pStyle w:val="ListParagraph"/>
        <w:numPr>
          <w:ilvl w:val="0"/>
          <w:numId w:val="22"/>
        </w:numPr>
      </w:pPr>
      <w:r w:rsidRPr="00E36CBB">
        <w:t xml:space="preserve">All medical practitioners must be provided with unrestricted access to carry out all duties </w:t>
      </w:r>
      <w:r w:rsidR="00E36CBB" w:rsidRPr="00E36CBB">
        <w:t>specified in the legislati</w:t>
      </w:r>
      <w:r w:rsidR="00E36CBB">
        <w:t xml:space="preserve">on and its regulations. </w:t>
      </w:r>
      <w:r w:rsidR="00E36CBB">
        <w:br/>
      </w:r>
    </w:p>
    <w:p w14:paraId="1DCB02EC" w14:textId="381E8B0E" w:rsidR="00715658" w:rsidRPr="00715658" w:rsidRDefault="00715658" w:rsidP="00715658">
      <w:pPr>
        <w:shd w:val="clear" w:color="auto" w:fill="DBE5F1" w:themeFill="accent1" w:themeFillTint="33"/>
        <w:rPr>
          <w:b/>
        </w:rPr>
      </w:pPr>
      <w:r w:rsidRPr="00715658">
        <w:rPr>
          <w:b/>
        </w:rPr>
        <w:t xml:space="preserve">Medical </w:t>
      </w:r>
      <w:r>
        <w:rPr>
          <w:b/>
        </w:rPr>
        <w:t xml:space="preserve">Exclusions </w:t>
      </w:r>
    </w:p>
    <w:p w14:paraId="1A1AFDDA" w14:textId="76A6412E" w:rsidR="003C42DB" w:rsidRDefault="003C42DB" w:rsidP="003C42DB"/>
    <w:p w14:paraId="3B2B9DC2" w14:textId="089660BE" w:rsidR="00715658" w:rsidRDefault="00715658" w:rsidP="007C48A3">
      <w:pPr>
        <w:pStyle w:val="ListParagraph"/>
        <w:numPr>
          <w:ilvl w:val="0"/>
          <w:numId w:val="22"/>
        </w:numPr>
      </w:pPr>
      <w:r>
        <w:t xml:space="preserve">Medical suspensions applied to a contestant in one sport or discipline </w:t>
      </w:r>
      <w:r w:rsidR="009A3636">
        <w:t>applies</w:t>
      </w:r>
      <w:r>
        <w:t xml:space="preserve"> to all controlled sports. </w:t>
      </w:r>
    </w:p>
    <w:p w14:paraId="05E991CA" w14:textId="77777777" w:rsidR="00715658" w:rsidRDefault="00715658" w:rsidP="007C48A3">
      <w:pPr>
        <w:pStyle w:val="ListParagraph"/>
      </w:pPr>
    </w:p>
    <w:p w14:paraId="64E37AC4" w14:textId="7C95D497" w:rsidR="00715658" w:rsidRDefault="00715658" w:rsidP="007C48A3">
      <w:pPr>
        <w:pStyle w:val="ListParagraph"/>
        <w:numPr>
          <w:ilvl w:val="0"/>
          <w:numId w:val="22"/>
        </w:numPr>
      </w:pPr>
      <w:r>
        <w:t>A minimum of 30 days medical suspension must be applied following any loss by Knockout or Technical Knockout (not including Tap Out o</w:t>
      </w:r>
      <w:r w:rsidR="009A3636">
        <w:t>r</w:t>
      </w:r>
      <w:r>
        <w:t xml:space="preserve"> Submission in Mixed Martial Arts contests)</w:t>
      </w:r>
      <w:r w:rsidR="00B64A4F">
        <w:t xml:space="preserve"> or concussion</w:t>
      </w:r>
      <w:r>
        <w:t xml:space="preserve">. </w:t>
      </w:r>
      <w:r w:rsidR="009A3636">
        <w:t xml:space="preserve">Longer periods may apply at the discretion of the medical practitioner. </w:t>
      </w:r>
    </w:p>
    <w:p w14:paraId="7B4102DC" w14:textId="77777777" w:rsidR="009A3636" w:rsidRDefault="009A3636" w:rsidP="007C48A3">
      <w:pPr>
        <w:pStyle w:val="ListParagraph"/>
      </w:pPr>
    </w:p>
    <w:p w14:paraId="0F8BB470" w14:textId="1B0999BF" w:rsidR="009A3636" w:rsidRDefault="009A3636" w:rsidP="007C48A3">
      <w:pPr>
        <w:pStyle w:val="ListParagraph"/>
        <w:numPr>
          <w:ilvl w:val="0"/>
          <w:numId w:val="22"/>
        </w:numPr>
      </w:pPr>
      <w:r>
        <w:lastRenderedPageBreak/>
        <w:t>For subsequent losses by Knockout or Technical Knockout (not including Tap Out or Submission in Mixed Martial Arts contests)</w:t>
      </w:r>
      <w:r w:rsidR="00B64A4F">
        <w:t xml:space="preserve"> or concussion</w:t>
      </w:r>
      <w:r>
        <w:t xml:space="preserve">, a longer medical suspension and additional medical testing may apply before registration can be resumed. This may include: </w:t>
      </w:r>
    </w:p>
    <w:p w14:paraId="467F535F" w14:textId="77777777" w:rsidR="009A3636" w:rsidRDefault="009A3636" w:rsidP="009A3636">
      <w:pPr>
        <w:pStyle w:val="ListParagraph"/>
      </w:pPr>
    </w:p>
    <w:p w14:paraId="67FD51E7" w14:textId="3D1E103A" w:rsidR="00F02BDD" w:rsidRDefault="00F02BDD" w:rsidP="009A3636">
      <w:pPr>
        <w:pStyle w:val="ListParagraph"/>
        <w:numPr>
          <w:ilvl w:val="1"/>
          <w:numId w:val="30"/>
        </w:numPr>
        <w:spacing w:before="140"/>
      </w:pPr>
      <w:r>
        <w:t>An exclusion period of 60 days or more for second subsequent knockout</w:t>
      </w:r>
      <w:r w:rsidR="00B64A4F">
        <w:t xml:space="preserve"> or concussion</w:t>
      </w:r>
      <w:r>
        <w:t xml:space="preserve">; </w:t>
      </w:r>
    </w:p>
    <w:p w14:paraId="44CC5B3E" w14:textId="14EBC32A" w:rsidR="00F02BDD" w:rsidRDefault="00F02BDD" w:rsidP="009A3636">
      <w:pPr>
        <w:pStyle w:val="ListParagraph"/>
        <w:numPr>
          <w:ilvl w:val="1"/>
          <w:numId w:val="30"/>
        </w:numPr>
        <w:spacing w:before="140"/>
      </w:pPr>
      <w:r>
        <w:t>An exclusion period of 90 days or more for third subsequent knockout</w:t>
      </w:r>
      <w:r w:rsidR="00B64A4F">
        <w:t xml:space="preserve"> or concussion</w:t>
      </w:r>
      <w:r>
        <w:t xml:space="preserve">; </w:t>
      </w:r>
    </w:p>
    <w:p w14:paraId="4B99B8EC" w14:textId="19FB0B56" w:rsidR="009A3636" w:rsidRDefault="009A3636" w:rsidP="009A3636">
      <w:pPr>
        <w:pStyle w:val="ListParagraph"/>
        <w:numPr>
          <w:ilvl w:val="1"/>
          <w:numId w:val="30"/>
        </w:numPr>
        <w:spacing w:before="140"/>
      </w:pPr>
      <w:r>
        <w:t xml:space="preserve">Neurological assessment; </w:t>
      </w:r>
    </w:p>
    <w:p w14:paraId="0229D5C8" w14:textId="34682032" w:rsidR="009A3636" w:rsidRDefault="009A3636" w:rsidP="009A3636">
      <w:pPr>
        <w:pStyle w:val="ListParagraph"/>
        <w:numPr>
          <w:ilvl w:val="1"/>
          <w:numId w:val="30"/>
        </w:numPr>
        <w:spacing w:before="140"/>
      </w:pPr>
      <w:r>
        <w:t xml:space="preserve">MRI of the brain; </w:t>
      </w:r>
    </w:p>
    <w:p w14:paraId="2E5B4620" w14:textId="77777777" w:rsidR="00F02BDD" w:rsidRDefault="009A3636" w:rsidP="009A3636">
      <w:pPr>
        <w:pStyle w:val="ListParagraph"/>
        <w:numPr>
          <w:ilvl w:val="1"/>
          <w:numId w:val="30"/>
        </w:numPr>
        <w:spacing w:before="140"/>
      </w:pPr>
      <w:r>
        <w:t>Other assessments recommended by a medical practitioner</w:t>
      </w:r>
      <w:r w:rsidR="00F02BDD">
        <w:t>;</w:t>
      </w:r>
    </w:p>
    <w:p w14:paraId="4EEEA621" w14:textId="6EF4262F" w:rsidR="009A3636" w:rsidRDefault="00F02BDD" w:rsidP="009A3636">
      <w:pPr>
        <w:pStyle w:val="ListParagraph"/>
        <w:numPr>
          <w:ilvl w:val="1"/>
          <w:numId w:val="30"/>
        </w:numPr>
        <w:spacing w:before="140"/>
      </w:pPr>
      <w:r>
        <w:t xml:space="preserve">Contestant registration cancelled indefinitely on medical grounds. </w:t>
      </w:r>
    </w:p>
    <w:p w14:paraId="770DBAD2" w14:textId="77777777" w:rsidR="00715658" w:rsidRDefault="00715658" w:rsidP="00715658">
      <w:pPr>
        <w:pStyle w:val="ListParagraph"/>
      </w:pPr>
    </w:p>
    <w:p w14:paraId="4C3988E0" w14:textId="77777777" w:rsidR="00CF50FD" w:rsidRDefault="00CF50FD" w:rsidP="00CF50FD">
      <w:pPr>
        <w:pStyle w:val="ListParagraph"/>
        <w:numPr>
          <w:ilvl w:val="0"/>
          <w:numId w:val="22"/>
        </w:numPr>
      </w:pPr>
      <w:r>
        <w:t>In order to have a medical suspension lifted, the registered contestant must obtain a new Certificate of Fitness clearing the contestant to compete again.</w:t>
      </w:r>
    </w:p>
    <w:p w14:paraId="5644CFC4" w14:textId="77777777" w:rsidR="00CF50FD" w:rsidRDefault="00CF50FD" w:rsidP="00CF50FD">
      <w:pPr>
        <w:pStyle w:val="ListParagraph"/>
        <w:numPr>
          <w:ilvl w:val="1"/>
          <w:numId w:val="22"/>
        </w:numPr>
      </w:pPr>
      <w:r>
        <w:t xml:space="preserve"> Additional medical conditions may be placed on this requirement. </w:t>
      </w:r>
    </w:p>
    <w:p w14:paraId="28E37C9A" w14:textId="77777777" w:rsidR="00CF50FD" w:rsidRDefault="00CF50FD" w:rsidP="00CF50FD">
      <w:pPr>
        <w:pStyle w:val="ListParagraph"/>
      </w:pPr>
    </w:p>
    <w:p w14:paraId="3A2FF716" w14:textId="77777777" w:rsidR="00CF50FD" w:rsidRDefault="00CF50FD" w:rsidP="00CF50FD">
      <w:pPr>
        <w:pStyle w:val="ListParagraph"/>
        <w:numPr>
          <w:ilvl w:val="1"/>
          <w:numId w:val="22"/>
        </w:numPr>
      </w:pPr>
      <w:r>
        <w:t xml:space="preserve">This clause applies even where a contestant has observed the minimum medical suspension period. </w:t>
      </w:r>
    </w:p>
    <w:p w14:paraId="5D26EA58" w14:textId="77777777" w:rsidR="00CF50FD" w:rsidRDefault="00CF50FD" w:rsidP="00CF50FD">
      <w:pPr>
        <w:pStyle w:val="ListParagraph"/>
      </w:pPr>
    </w:p>
    <w:p w14:paraId="38F92CA1" w14:textId="701E5AFA" w:rsidR="00CF50FD" w:rsidRPr="00A63693" w:rsidRDefault="00CF50FD" w:rsidP="00CF50FD">
      <w:pPr>
        <w:pStyle w:val="ListParagraph"/>
        <w:spacing w:before="140"/>
        <w:rPr>
          <w:i/>
          <w:sz w:val="22"/>
        </w:rPr>
      </w:pPr>
      <w:r w:rsidRPr="00A63693">
        <w:rPr>
          <w:sz w:val="22"/>
        </w:rPr>
        <w:t xml:space="preserve"> </w:t>
      </w:r>
      <w:r w:rsidRPr="00A63693">
        <w:rPr>
          <w:i/>
          <w:sz w:val="22"/>
        </w:rPr>
        <w:t xml:space="preserve">Example: A contestant suffers a concussion during the contest. The registered medical practitioner recommends the contestant be referred to the emergency department. The contestant is given a recommendation to recover for 30 days, but is still symptomatic after this period. The ACT Registrar for Controlled Sports or their representative requests that the contestant follow up with a concussion specialist and undertake an MRI to check for any abnormalities. </w:t>
      </w:r>
    </w:p>
    <w:p w14:paraId="0C19936E" w14:textId="77777777" w:rsidR="00CF50FD" w:rsidRDefault="00CF50FD" w:rsidP="00715658">
      <w:pPr>
        <w:pStyle w:val="ListParagraph"/>
      </w:pPr>
    </w:p>
    <w:p w14:paraId="27D49416" w14:textId="77F7B776" w:rsidR="00997737" w:rsidRDefault="00715658" w:rsidP="00CB592A">
      <w:pPr>
        <w:pStyle w:val="ListParagraph"/>
        <w:numPr>
          <w:ilvl w:val="0"/>
          <w:numId w:val="22"/>
        </w:numPr>
      </w:pPr>
      <w:r>
        <w:t xml:space="preserve">Contestants are not permitted to compete for five clear days in any jurisdiction </w:t>
      </w:r>
      <w:r w:rsidR="009A3636">
        <w:t xml:space="preserve">(including internationally) </w:t>
      </w:r>
      <w:r>
        <w:t xml:space="preserve">after each </w:t>
      </w:r>
      <w:r w:rsidR="00CF50FD">
        <w:t>event</w:t>
      </w:r>
      <w:r w:rsidR="00C561DD">
        <w:t xml:space="preserve"> regardless of the outcome. </w:t>
      </w:r>
    </w:p>
    <w:p w14:paraId="357867AE" w14:textId="77777777" w:rsidR="00CF50FD" w:rsidRDefault="00CF50FD" w:rsidP="00CF50FD">
      <w:pPr>
        <w:pStyle w:val="ListParagraph"/>
      </w:pPr>
    </w:p>
    <w:p w14:paraId="75462067" w14:textId="329C6917" w:rsidR="00CF50FD" w:rsidRDefault="00CF50FD" w:rsidP="00CF50FD">
      <w:pPr>
        <w:pStyle w:val="ListParagraph"/>
        <w:numPr>
          <w:ilvl w:val="1"/>
          <w:numId w:val="22"/>
        </w:numPr>
      </w:pPr>
      <w:r>
        <w:t xml:space="preserve">It is also recommended that contestants refrain from sparring or training during this period to allow for recovery. </w:t>
      </w:r>
    </w:p>
    <w:p w14:paraId="36C5F3FD" w14:textId="77777777" w:rsidR="00CF50FD" w:rsidRDefault="00CF50FD" w:rsidP="00CF50FD">
      <w:pPr>
        <w:ind w:left="720"/>
      </w:pPr>
    </w:p>
    <w:p w14:paraId="2BEFE7F2" w14:textId="2DA1EB62" w:rsidR="00CF50FD" w:rsidRPr="00A63693" w:rsidRDefault="00CF50FD" w:rsidP="00CF50FD">
      <w:pPr>
        <w:ind w:left="720"/>
        <w:rPr>
          <w:i/>
          <w:sz w:val="22"/>
        </w:rPr>
      </w:pPr>
      <w:r w:rsidRPr="00A63693">
        <w:rPr>
          <w:i/>
          <w:sz w:val="22"/>
        </w:rPr>
        <w:t xml:space="preserve">Note: Refraining from training or sparring after an event is a recommendation only. No offence applies if this recommendation is not observed. </w:t>
      </w:r>
    </w:p>
    <w:p w14:paraId="704DD4C3" w14:textId="77777777" w:rsidR="00112E85" w:rsidRDefault="00112E85" w:rsidP="007A6D8E">
      <w:pPr>
        <w:pStyle w:val="ListParagraph"/>
        <w:spacing w:before="140"/>
        <w:rPr>
          <w:i/>
        </w:rPr>
      </w:pPr>
    </w:p>
    <w:p w14:paraId="091C478B" w14:textId="61A56AD7" w:rsidR="00112E85" w:rsidRPr="00112E85" w:rsidRDefault="00112E85" w:rsidP="00112E85">
      <w:pPr>
        <w:shd w:val="clear" w:color="auto" w:fill="DBE5F1" w:themeFill="accent1" w:themeFillTint="33"/>
        <w:rPr>
          <w:b/>
        </w:rPr>
      </w:pPr>
      <w:r w:rsidRPr="00112E85">
        <w:rPr>
          <w:b/>
        </w:rPr>
        <w:t xml:space="preserve">Venue Requirements </w:t>
      </w:r>
    </w:p>
    <w:p w14:paraId="68047F56" w14:textId="07665FE4" w:rsidR="00112E85" w:rsidRDefault="00112E85" w:rsidP="007C48A3">
      <w:pPr>
        <w:pStyle w:val="ListParagraph"/>
        <w:numPr>
          <w:ilvl w:val="0"/>
          <w:numId w:val="22"/>
        </w:numPr>
      </w:pPr>
      <w:r>
        <w:t xml:space="preserve">The number of tickets provided for the event must not exceed the </w:t>
      </w:r>
      <w:r w:rsidR="00CF50FD">
        <w:t xml:space="preserve">venue capacity </w:t>
      </w:r>
      <w:r>
        <w:t xml:space="preserve">at the approved venue. </w:t>
      </w:r>
    </w:p>
    <w:p w14:paraId="63E66165" w14:textId="77777777" w:rsidR="00112E85" w:rsidRDefault="00112E85" w:rsidP="00112E85"/>
    <w:p w14:paraId="421F01E9" w14:textId="776D709C" w:rsidR="00112E85" w:rsidRPr="00112E85" w:rsidRDefault="00112E85" w:rsidP="00112E85">
      <w:pPr>
        <w:shd w:val="clear" w:color="auto" w:fill="DBE5F1" w:themeFill="accent1" w:themeFillTint="33"/>
        <w:rPr>
          <w:b/>
        </w:rPr>
      </w:pPr>
      <w:r w:rsidRPr="00112E85">
        <w:rPr>
          <w:b/>
        </w:rPr>
        <w:t xml:space="preserve">Contest area requirements: </w:t>
      </w:r>
    </w:p>
    <w:p w14:paraId="07533399" w14:textId="77777777" w:rsidR="00112E85" w:rsidRPr="00112E85" w:rsidRDefault="00112E85" w:rsidP="00112E85">
      <w:pPr>
        <w:rPr>
          <w:highlight w:val="yellow"/>
        </w:rPr>
      </w:pPr>
    </w:p>
    <w:p w14:paraId="29E7333A" w14:textId="77777777" w:rsidR="00112E85" w:rsidRDefault="00112E85" w:rsidP="007C48A3">
      <w:pPr>
        <w:pStyle w:val="ListParagraph"/>
        <w:numPr>
          <w:ilvl w:val="0"/>
          <w:numId w:val="22"/>
        </w:numPr>
      </w:pPr>
      <w:r>
        <w:t xml:space="preserve">The contest area must not have any obstructing projections and be padded appropriately to prevent injury to the contestants. </w:t>
      </w:r>
    </w:p>
    <w:p w14:paraId="25A50301" w14:textId="77777777" w:rsidR="00112E85" w:rsidRDefault="00112E85" w:rsidP="007C48A3">
      <w:pPr>
        <w:pStyle w:val="ListParagraph"/>
      </w:pPr>
    </w:p>
    <w:p w14:paraId="54A07CD8" w14:textId="77777777" w:rsidR="00955688" w:rsidRDefault="00955688" w:rsidP="00955688">
      <w:pPr>
        <w:pStyle w:val="ListParagraph"/>
        <w:numPr>
          <w:ilvl w:val="0"/>
          <w:numId w:val="22"/>
        </w:numPr>
      </w:pPr>
      <w:r>
        <w:t xml:space="preserve">Paramedics must have a clear, unobstructed route to access the contest area to allow for the unimpeded evacuation of an injured contestant. </w:t>
      </w:r>
    </w:p>
    <w:p w14:paraId="2BE244E9" w14:textId="77777777" w:rsidR="00955688" w:rsidRDefault="00955688" w:rsidP="00955688"/>
    <w:p w14:paraId="0E6BA3E9" w14:textId="1FFFA2FA" w:rsidR="00955688" w:rsidRDefault="00112E85" w:rsidP="00955688">
      <w:pPr>
        <w:pStyle w:val="ListParagraph"/>
        <w:numPr>
          <w:ilvl w:val="0"/>
          <w:numId w:val="22"/>
        </w:numPr>
      </w:pPr>
      <w:r>
        <w:lastRenderedPageBreak/>
        <w:t xml:space="preserve">Contest area flooring must be covered with a layer of rubber, or other suitable material having the same quality and elasticity as rubber, of a thickness of not less than 2.5 centimetres, over which a non-slip canvas must be stretched and secured to the outer edges of the platform. </w:t>
      </w:r>
    </w:p>
    <w:p w14:paraId="33604908" w14:textId="77777777" w:rsidR="00955688" w:rsidRDefault="00955688" w:rsidP="00955688">
      <w:pPr>
        <w:pStyle w:val="ListParagraph"/>
      </w:pPr>
    </w:p>
    <w:p w14:paraId="0FDE8503" w14:textId="77777777" w:rsidR="00955688" w:rsidRDefault="00955688" w:rsidP="00955688">
      <w:pPr>
        <w:pStyle w:val="ListParagraph"/>
        <w:numPr>
          <w:ilvl w:val="0"/>
          <w:numId w:val="22"/>
        </w:numPr>
      </w:pPr>
      <w:r w:rsidRPr="00951FB6">
        <w:t>A distance of at least 1.5 metres is to be provided between the judges’ seats and the first row of spectator chairs. This area must be clearly marked</w:t>
      </w:r>
      <w:r>
        <w:t>,</w:t>
      </w:r>
      <w:r w:rsidRPr="00951FB6">
        <w:t xml:space="preserve"> preferably with a barrier.</w:t>
      </w:r>
    </w:p>
    <w:p w14:paraId="66A1740B" w14:textId="77777777" w:rsidR="00955688" w:rsidRDefault="00955688" w:rsidP="00955688">
      <w:pPr>
        <w:pStyle w:val="ListParagraph"/>
      </w:pPr>
    </w:p>
    <w:p w14:paraId="5AEDAD6D" w14:textId="77777777" w:rsidR="00955688" w:rsidRDefault="00955688" w:rsidP="00955688">
      <w:pPr>
        <w:pStyle w:val="ListParagraph"/>
        <w:numPr>
          <w:ilvl w:val="0"/>
          <w:numId w:val="22"/>
        </w:numPr>
      </w:pPr>
      <w:r>
        <w:t xml:space="preserve">Judging positions will be allocated on 3 sides of the contest area and the position for the recorder and medical practitioner will be on the fourth side, close to the contest area entry. </w:t>
      </w:r>
    </w:p>
    <w:p w14:paraId="6B2309DC" w14:textId="77777777" w:rsidR="00955688" w:rsidRDefault="00955688" w:rsidP="00955688">
      <w:pPr>
        <w:pStyle w:val="ListParagraph"/>
      </w:pPr>
    </w:p>
    <w:p w14:paraId="3A3E1FE7" w14:textId="77777777" w:rsidR="00955688" w:rsidRDefault="00955688" w:rsidP="00955688">
      <w:pPr>
        <w:pStyle w:val="ListParagraph"/>
        <w:numPr>
          <w:ilvl w:val="0"/>
          <w:numId w:val="22"/>
        </w:numPr>
      </w:pPr>
      <w:r>
        <w:t xml:space="preserve">At least equivalent to one seat either side of each judge will remain vacant so as to ensure that no other person can see the scores being recorded. </w:t>
      </w:r>
    </w:p>
    <w:p w14:paraId="7C5AB8CE" w14:textId="77777777" w:rsidR="00955688" w:rsidRDefault="00955688" w:rsidP="00955688">
      <w:pPr>
        <w:pStyle w:val="ListParagraph"/>
      </w:pPr>
    </w:p>
    <w:p w14:paraId="3F70B983" w14:textId="77777777" w:rsidR="00955688" w:rsidRDefault="00955688" w:rsidP="00955688">
      <w:pPr>
        <w:pStyle w:val="ListParagraph"/>
        <w:numPr>
          <w:ilvl w:val="0"/>
          <w:numId w:val="22"/>
        </w:numPr>
      </w:pPr>
      <w:r>
        <w:t>The judges’ seats should be elevated to the height of the contest area (if applicable). Temporary lighting must be rigged in such a way as to not interrupt the judges’ vision of the contest or create difficulties for the officials to undertake their duties.</w:t>
      </w:r>
    </w:p>
    <w:p w14:paraId="6289A809" w14:textId="77777777" w:rsidR="00955688" w:rsidRDefault="00955688" w:rsidP="00955688">
      <w:pPr>
        <w:pStyle w:val="ListParagraph"/>
      </w:pPr>
    </w:p>
    <w:p w14:paraId="56004C1E" w14:textId="77777777" w:rsidR="00955688" w:rsidRDefault="00955688" w:rsidP="00955688">
      <w:pPr>
        <w:pStyle w:val="ListParagraph"/>
        <w:numPr>
          <w:ilvl w:val="0"/>
          <w:numId w:val="22"/>
        </w:numPr>
      </w:pPr>
      <w:r>
        <w:t xml:space="preserve">Adequate clearance must be provided in order for inspectors and officials to move around the contest area without being hindered. </w:t>
      </w:r>
    </w:p>
    <w:p w14:paraId="6474F57C" w14:textId="77777777" w:rsidR="00955688" w:rsidRDefault="00955688" w:rsidP="00955688">
      <w:pPr>
        <w:pStyle w:val="ListParagraph"/>
      </w:pPr>
    </w:p>
    <w:p w14:paraId="169287AD" w14:textId="6365458F" w:rsidR="00955688" w:rsidRDefault="00955688" w:rsidP="00955688">
      <w:pPr>
        <w:pStyle w:val="ListParagraph"/>
        <w:numPr>
          <w:ilvl w:val="0"/>
          <w:numId w:val="22"/>
        </w:numPr>
      </w:pPr>
      <w:r>
        <w:t xml:space="preserve">The promoter will provide a Timekeepers Bell, Hammer or other approved equipment. </w:t>
      </w:r>
    </w:p>
    <w:p w14:paraId="7735C9DE" w14:textId="77777777" w:rsidR="00112E85" w:rsidRDefault="00112E85" w:rsidP="007C48A3">
      <w:pPr>
        <w:pStyle w:val="ListParagraph"/>
      </w:pPr>
    </w:p>
    <w:p w14:paraId="658E413B" w14:textId="77777777" w:rsidR="00112E85" w:rsidRPr="007C48A3" w:rsidRDefault="00112E85" w:rsidP="007C48A3">
      <w:pPr>
        <w:pStyle w:val="ListParagraph"/>
        <w:numPr>
          <w:ilvl w:val="0"/>
          <w:numId w:val="22"/>
        </w:numPr>
        <w:rPr>
          <w:b/>
        </w:rPr>
      </w:pPr>
      <w:r w:rsidRPr="007C48A3">
        <w:rPr>
          <w:b/>
        </w:rPr>
        <w:t xml:space="preserve">For contests conducted in a ring: </w:t>
      </w:r>
    </w:p>
    <w:p w14:paraId="1D6970BE" w14:textId="77777777" w:rsidR="00112E85" w:rsidRDefault="00112E85" w:rsidP="00112E85">
      <w:pPr>
        <w:pStyle w:val="ListParagraph"/>
      </w:pPr>
    </w:p>
    <w:p w14:paraId="7116E99C" w14:textId="77777777" w:rsidR="00112E85" w:rsidRDefault="00112E85" w:rsidP="00112E85">
      <w:pPr>
        <w:pStyle w:val="ListParagraph"/>
        <w:numPr>
          <w:ilvl w:val="0"/>
          <w:numId w:val="18"/>
        </w:numPr>
      </w:pPr>
      <w:r>
        <w:t xml:space="preserve">The ring must be a square having sides of not less than 4.9 metres and not more than 6.1 metres by measurements taken inside the line of the ropes. </w:t>
      </w:r>
    </w:p>
    <w:p w14:paraId="170CF58B" w14:textId="77777777" w:rsidR="00112E85" w:rsidRDefault="00112E85" w:rsidP="00112E85">
      <w:pPr>
        <w:pStyle w:val="ListParagraph"/>
        <w:numPr>
          <w:ilvl w:val="0"/>
          <w:numId w:val="18"/>
        </w:numPr>
      </w:pPr>
      <w:r>
        <w:t>The platform must be safely constructed, level and free from any obstructing projections, and extend for at least 50 centimetres outside the line of the ropes, and be fitted with 4 corner posts that are well padded or otherwise so constructed as to prevent injury to the contestants.</w:t>
      </w:r>
    </w:p>
    <w:p w14:paraId="67349050" w14:textId="77777777" w:rsidR="00112E85" w:rsidRDefault="00112E85" w:rsidP="00112E85">
      <w:pPr>
        <w:pStyle w:val="ListParagraph"/>
        <w:numPr>
          <w:ilvl w:val="0"/>
          <w:numId w:val="18"/>
        </w:numPr>
      </w:pPr>
      <w:r>
        <w:t xml:space="preserve">The entire platform must be covered with a layer of rubber, or other suitable material having the same quality of elasticity as rubber, of a thickness of not less than 2.5 centimetres, over which a non-slip canvas shall be stretched and secured to the outer edges of the platform. </w:t>
      </w:r>
    </w:p>
    <w:p w14:paraId="66913D74" w14:textId="12B00F5E" w:rsidR="00112E85" w:rsidRDefault="00112E85" w:rsidP="00112E85">
      <w:pPr>
        <w:pStyle w:val="ListParagraph"/>
        <w:numPr>
          <w:ilvl w:val="0"/>
          <w:numId w:val="18"/>
        </w:numPr>
      </w:pPr>
      <w:r>
        <w:t>There must be 4 ropes of a thickness of not less than 3 centimetres and not more than 5 centimetres tightly drawn from the corner posts at heights of approximately 40</w:t>
      </w:r>
      <w:r w:rsidR="009A3636">
        <w:t xml:space="preserve"> </w:t>
      </w:r>
      <w:r>
        <w:t>c</w:t>
      </w:r>
      <w:r w:rsidR="009A3636">
        <w:t>enti</w:t>
      </w:r>
      <w:r>
        <w:t>m</w:t>
      </w:r>
      <w:r w:rsidR="009A3636">
        <w:t>etres</w:t>
      </w:r>
      <w:r>
        <w:t>, 70</w:t>
      </w:r>
      <w:r w:rsidR="009A3636">
        <w:t xml:space="preserve"> centimetres</w:t>
      </w:r>
      <w:r>
        <w:t>, 100</w:t>
      </w:r>
      <w:r w:rsidR="009A3636">
        <w:t xml:space="preserve"> centimetres</w:t>
      </w:r>
      <w:r>
        <w:t xml:space="preserve"> and 130</w:t>
      </w:r>
      <w:r w:rsidR="009A3636">
        <w:t xml:space="preserve"> centimetres</w:t>
      </w:r>
      <w:r>
        <w:t xml:space="preserve"> from the platform, respectively. </w:t>
      </w:r>
    </w:p>
    <w:p w14:paraId="6CEF76A9" w14:textId="1E2C7152" w:rsidR="00112E85" w:rsidRDefault="00112E85" w:rsidP="00112E85">
      <w:pPr>
        <w:pStyle w:val="ListParagraph"/>
        <w:numPr>
          <w:ilvl w:val="0"/>
          <w:numId w:val="18"/>
        </w:numPr>
      </w:pPr>
      <w:r>
        <w:t>The ropes must be covered by a soft or cushioned material and be joined on each of the four sides at equal intervals by rope stays hung vertically, that are not less than 3</w:t>
      </w:r>
      <w:r w:rsidR="009A3636">
        <w:t xml:space="preserve"> centimetres</w:t>
      </w:r>
      <w:r>
        <w:t xml:space="preserve"> and not more than 4</w:t>
      </w:r>
      <w:r w:rsidR="009A3636">
        <w:t xml:space="preserve"> centimetres</w:t>
      </w:r>
      <w:r>
        <w:t xml:space="preserve"> wide, and that do not slide along the ropes. </w:t>
      </w:r>
    </w:p>
    <w:p w14:paraId="39A82456" w14:textId="77777777" w:rsidR="00112E85" w:rsidRDefault="00112E85" w:rsidP="00112E85">
      <w:pPr>
        <w:pStyle w:val="ListParagraph"/>
        <w:numPr>
          <w:ilvl w:val="0"/>
          <w:numId w:val="18"/>
        </w:numPr>
      </w:pPr>
      <w:r>
        <w:t xml:space="preserve">A minimum of two rope stays must be used on each side of the ring. </w:t>
      </w:r>
    </w:p>
    <w:p w14:paraId="0286C34C" w14:textId="77777777" w:rsidR="00112E85" w:rsidRDefault="00112E85" w:rsidP="00112E85">
      <w:pPr>
        <w:pStyle w:val="ListParagraph"/>
        <w:numPr>
          <w:ilvl w:val="0"/>
          <w:numId w:val="18"/>
        </w:numPr>
      </w:pPr>
      <w:r>
        <w:t xml:space="preserve">Turnbuckles must be covered by suitable padding. </w:t>
      </w:r>
    </w:p>
    <w:p w14:paraId="06FEFC1A" w14:textId="77777777" w:rsidR="00112E85" w:rsidRDefault="00112E85" w:rsidP="00112E85">
      <w:pPr>
        <w:pStyle w:val="ListParagraph"/>
        <w:numPr>
          <w:ilvl w:val="0"/>
          <w:numId w:val="18"/>
        </w:numPr>
      </w:pPr>
      <w:r>
        <w:lastRenderedPageBreak/>
        <w:t xml:space="preserve">There must be at least three sets of properly constructed steps. Two sets at diagonally opposite corners of the ring for the use of contestants, seconds and officials. A separate set must be provided in one neutral corner for use by the registered medical practitioner. </w:t>
      </w:r>
    </w:p>
    <w:p w14:paraId="7F1A1B7B" w14:textId="77777777" w:rsidR="00112E85" w:rsidRDefault="00112E85" w:rsidP="00112E85">
      <w:pPr>
        <w:pStyle w:val="ListParagraph"/>
        <w:ind w:left="1080"/>
      </w:pPr>
    </w:p>
    <w:p w14:paraId="279D2AB2" w14:textId="1D57C215" w:rsidR="00112E85" w:rsidRPr="007C48A3" w:rsidRDefault="00112E85" w:rsidP="007C48A3">
      <w:pPr>
        <w:pStyle w:val="ListParagraph"/>
        <w:numPr>
          <w:ilvl w:val="0"/>
          <w:numId w:val="22"/>
        </w:numPr>
        <w:rPr>
          <w:b/>
        </w:rPr>
      </w:pPr>
      <w:r w:rsidRPr="007C48A3">
        <w:rPr>
          <w:b/>
        </w:rPr>
        <w:t>For contests conducted in a fenced area/caged enclosure:</w:t>
      </w:r>
    </w:p>
    <w:p w14:paraId="537BC44E" w14:textId="77777777" w:rsidR="00112E85" w:rsidRDefault="00112E85" w:rsidP="00112E85">
      <w:pPr>
        <w:pStyle w:val="ListParagraph"/>
      </w:pPr>
      <w:r>
        <w:t xml:space="preserve"> </w:t>
      </w:r>
    </w:p>
    <w:p w14:paraId="4E26D5C7" w14:textId="014BC3B0" w:rsidR="00112E85" w:rsidRDefault="00112E85" w:rsidP="00777705">
      <w:pPr>
        <w:pStyle w:val="ListParagraph"/>
        <w:numPr>
          <w:ilvl w:val="0"/>
          <w:numId w:val="42"/>
        </w:numPr>
      </w:pPr>
      <w:r>
        <w:t xml:space="preserve">The cage must be no smaller than 6.09 metres by 6.09 metres and no larger than 9.75 metres by 9.75 metres. </w:t>
      </w:r>
    </w:p>
    <w:p w14:paraId="42E40D48" w14:textId="77777777" w:rsidR="00112E85" w:rsidRDefault="00112E85" w:rsidP="00777705">
      <w:pPr>
        <w:pStyle w:val="ListParagraph"/>
        <w:numPr>
          <w:ilvl w:val="0"/>
          <w:numId w:val="42"/>
        </w:numPr>
      </w:pPr>
      <w:r>
        <w:t xml:space="preserve">The height of the platform must not exceed 1.21 metres above the floor of the building. </w:t>
      </w:r>
    </w:p>
    <w:p w14:paraId="41DE62C4" w14:textId="77777777" w:rsidR="00112E85" w:rsidRDefault="00112E85" w:rsidP="00777705">
      <w:pPr>
        <w:pStyle w:val="ListParagraph"/>
        <w:numPr>
          <w:ilvl w:val="0"/>
          <w:numId w:val="42"/>
        </w:numPr>
      </w:pPr>
      <w:r>
        <w:t xml:space="preserve">The canvas of the contest area must be enclosed by a fence of such material as will not allow a contestant to fall out or break through onto the floor; including, without limitation, chain link fence coated with vinyl. </w:t>
      </w:r>
    </w:p>
    <w:p w14:paraId="0B7FCA5B" w14:textId="77777777" w:rsidR="00112E85" w:rsidRDefault="00112E85" w:rsidP="00777705">
      <w:pPr>
        <w:pStyle w:val="ListParagraph"/>
        <w:numPr>
          <w:ilvl w:val="0"/>
          <w:numId w:val="42"/>
        </w:numPr>
      </w:pPr>
      <w:r>
        <w:t xml:space="preserve">There must not be any obstruction on any part of the fence surrounding the contest area. Any metal portion of the fenced area must be covered and properly padded in a manner approved by the Controlled Sports Inspector. </w:t>
      </w:r>
    </w:p>
    <w:p w14:paraId="4082ADAC" w14:textId="40D71E7F" w:rsidR="00112E85" w:rsidRDefault="00112E85" w:rsidP="00777705">
      <w:pPr>
        <w:pStyle w:val="ListParagraph"/>
        <w:numPr>
          <w:ilvl w:val="0"/>
          <w:numId w:val="42"/>
        </w:numPr>
      </w:pPr>
      <w:r>
        <w:t>Fence posts must be made of metal, not more than 15</w:t>
      </w:r>
      <w:r w:rsidR="009A3636">
        <w:t xml:space="preserve"> centimetres</w:t>
      </w:r>
      <w:r>
        <w:t xml:space="preserve"> in diameter, extending from the floor of the building to a minimum height of 1.5</w:t>
      </w:r>
      <w:r w:rsidR="009A3636">
        <w:t xml:space="preserve"> </w:t>
      </w:r>
      <w:r>
        <w:t>m</w:t>
      </w:r>
      <w:r w:rsidR="009A3636">
        <w:t>etres</w:t>
      </w:r>
      <w:r>
        <w:t xml:space="preserve"> above the ring floor and must be properly padded in a manner approved by the Controlled Sports Inspector. </w:t>
      </w:r>
    </w:p>
    <w:p w14:paraId="704D6431" w14:textId="79FAB3A4" w:rsidR="00112E85" w:rsidRDefault="00112E85" w:rsidP="00777705">
      <w:pPr>
        <w:pStyle w:val="ListParagraph"/>
        <w:numPr>
          <w:ilvl w:val="0"/>
          <w:numId w:val="42"/>
        </w:numPr>
      </w:pPr>
      <w:r>
        <w:t>The floor of the contest area must be padded with ensolite or similar closed-cell foam, with at least a 2.5</w:t>
      </w:r>
      <w:r w:rsidR="009A3636">
        <w:t xml:space="preserve"> </w:t>
      </w:r>
      <w:r>
        <w:t>c</w:t>
      </w:r>
      <w:r w:rsidR="009A3636">
        <w:t>entimetres</w:t>
      </w:r>
      <w:r>
        <w:t xml:space="preserve"> layer of foam padding. The padding must be completely covered by a non-slip canvas, or similar material tightly stretched and laced to the platform of the contest area. Material that tends to gather in lumps or ridges must not be used. </w:t>
      </w:r>
    </w:p>
    <w:p w14:paraId="64099B4B" w14:textId="5C0A65E7" w:rsidR="00112E85" w:rsidRPr="004D4197" w:rsidRDefault="00112E85" w:rsidP="00777705">
      <w:pPr>
        <w:pStyle w:val="ListParagraph"/>
        <w:numPr>
          <w:ilvl w:val="0"/>
          <w:numId w:val="42"/>
        </w:numPr>
      </w:pPr>
      <w:r>
        <w:t>The contest area must have two (2) entrances, positioned on opposite sides of the contest area.</w:t>
      </w:r>
    </w:p>
    <w:p w14:paraId="0488FA2F" w14:textId="77777777" w:rsidR="00445E17" w:rsidRDefault="00445E17" w:rsidP="00445E17">
      <w:pPr>
        <w:rPr>
          <w:u w:val="single"/>
        </w:rPr>
      </w:pPr>
    </w:p>
    <w:p w14:paraId="5D099090" w14:textId="07E766CA" w:rsidR="00445E17" w:rsidRPr="00445E17" w:rsidRDefault="00445E17" w:rsidP="00445E17">
      <w:pPr>
        <w:shd w:val="clear" w:color="auto" w:fill="DBE5F1" w:themeFill="accent1" w:themeFillTint="33"/>
        <w:rPr>
          <w:b/>
        </w:rPr>
      </w:pPr>
      <w:r w:rsidRPr="00445E17">
        <w:rPr>
          <w:b/>
        </w:rPr>
        <w:t xml:space="preserve">Protective Clothing </w:t>
      </w:r>
      <w:r w:rsidR="00FC1854">
        <w:rPr>
          <w:b/>
        </w:rPr>
        <w:t>and Equipment</w:t>
      </w:r>
    </w:p>
    <w:p w14:paraId="52FBBBAE" w14:textId="1632DC4D" w:rsidR="00445E17" w:rsidRDefault="00445E17" w:rsidP="007C48A3">
      <w:pPr>
        <w:pStyle w:val="ListParagraph"/>
        <w:numPr>
          <w:ilvl w:val="0"/>
          <w:numId w:val="22"/>
        </w:numPr>
      </w:pPr>
      <w:r w:rsidRPr="001C3F93">
        <w:t>Clothing, headgear, gloves, footwear, groin protectors, chest protectors, bandaging, other safety apparel and all other equipment must be used as specified in the rules specified in the approval.</w:t>
      </w:r>
      <w:r>
        <w:t xml:space="preserve"> </w:t>
      </w:r>
    </w:p>
    <w:p w14:paraId="2D4330B2" w14:textId="77777777" w:rsidR="00445E17" w:rsidRDefault="00445E17" w:rsidP="007C48A3">
      <w:pPr>
        <w:pStyle w:val="ListParagraph"/>
      </w:pPr>
    </w:p>
    <w:p w14:paraId="6F347190" w14:textId="5D166A9A" w:rsidR="007D6786" w:rsidRPr="00DA44BE" w:rsidRDefault="00445E17" w:rsidP="007C48A3">
      <w:pPr>
        <w:pStyle w:val="ListParagraph"/>
        <w:numPr>
          <w:ilvl w:val="0"/>
          <w:numId w:val="22"/>
        </w:numPr>
      </w:pPr>
      <w:r w:rsidRPr="005B5A5A">
        <w:t xml:space="preserve">Notwithstanding Section </w:t>
      </w:r>
      <w:r w:rsidR="004E45DB" w:rsidRPr="00DA44BE">
        <w:t>70</w:t>
      </w:r>
      <w:r w:rsidRPr="00DA44BE">
        <w:t xml:space="preserve"> above</w:t>
      </w:r>
      <w:r w:rsidR="007D6786" w:rsidRPr="00DA44BE">
        <w:t xml:space="preserve">: </w:t>
      </w:r>
    </w:p>
    <w:p w14:paraId="6CD252D6" w14:textId="77777777" w:rsidR="007D6786" w:rsidRDefault="007D6786" w:rsidP="007D6786">
      <w:pPr>
        <w:pStyle w:val="ListParagraph"/>
      </w:pPr>
    </w:p>
    <w:p w14:paraId="5C338ADF" w14:textId="574DF341" w:rsidR="007D6786" w:rsidRDefault="007D6786" w:rsidP="007D6786">
      <w:pPr>
        <w:pStyle w:val="ListParagraph"/>
        <w:numPr>
          <w:ilvl w:val="1"/>
          <w:numId w:val="22"/>
        </w:numPr>
      </w:pPr>
      <w:r>
        <w:t>M</w:t>
      </w:r>
      <w:r w:rsidR="00445E17" w:rsidRPr="005B5A5A">
        <w:t>outhguards must be worn by all co</w:t>
      </w:r>
      <w:r w:rsidR="00445E17">
        <w:t>ntestants</w:t>
      </w:r>
      <w:r>
        <w:t>;</w:t>
      </w:r>
    </w:p>
    <w:p w14:paraId="5362B224" w14:textId="77777777" w:rsidR="007D6786" w:rsidRDefault="00814099" w:rsidP="007D6786">
      <w:pPr>
        <w:pStyle w:val="ListParagraph"/>
        <w:numPr>
          <w:ilvl w:val="1"/>
          <w:numId w:val="22"/>
        </w:numPr>
      </w:pPr>
      <w:r>
        <w:t>The use of steel groin protectors</w:t>
      </w:r>
      <w:r w:rsidR="00FC1854">
        <w:t xml:space="preserve"> is prohibited</w:t>
      </w:r>
      <w:r w:rsidR="007D6786">
        <w:t>;</w:t>
      </w:r>
    </w:p>
    <w:p w14:paraId="7773030E" w14:textId="6D8ABD49" w:rsidR="00FC1854" w:rsidRDefault="007D6786" w:rsidP="007D6786">
      <w:pPr>
        <w:pStyle w:val="ListParagraph"/>
        <w:numPr>
          <w:ilvl w:val="1"/>
          <w:numId w:val="22"/>
        </w:numPr>
      </w:pPr>
      <w:r>
        <w:t xml:space="preserve">The use of gloves containing horse hair are prohibited; </w:t>
      </w:r>
    </w:p>
    <w:p w14:paraId="0A66E791" w14:textId="3D494A91" w:rsidR="007D6786" w:rsidRDefault="007D6786" w:rsidP="007D6786">
      <w:pPr>
        <w:pStyle w:val="ListParagraph"/>
        <w:numPr>
          <w:ilvl w:val="1"/>
          <w:numId w:val="22"/>
        </w:numPr>
      </w:pPr>
      <w:r>
        <w:t xml:space="preserve">Jewellery or other piercing accessories must be removed before the contest. </w:t>
      </w:r>
    </w:p>
    <w:p w14:paraId="1E1E576F" w14:textId="77777777" w:rsidR="00777705" w:rsidRDefault="00777705" w:rsidP="007D6786"/>
    <w:p w14:paraId="43C2B5E7" w14:textId="77777777" w:rsidR="007D6786" w:rsidRDefault="007D6786" w:rsidP="007D6786">
      <w:pPr>
        <w:pStyle w:val="ListParagraph"/>
        <w:numPr>
          <w:ilvl w:val="0"/>
          <w:numId w:val="22"/>
        </w:numPr>
      </w:pPr>
      <w:r>
        <w:t xml:space="preserve">The promoter must supply gloves (if applicable) for all contestants competing in the event. The gloves must be new, or in as new condition. </w:t>
      </w:r>
    </w:p>
    <w:p w14:paraId="1FC940DA" w14:textId="77777777" w:rsidR="007D6786" w:rsidRDefault="007D6786" w:rsidP="007D6786">
      <w:pPr>
        <w:pStyle w:val="ListParagraph"/>
      </w:pPr>
    </w:p>
    <w:p w14:paraId="4BFF382C" w14:textId="75DC7248" w:rsidR="0058686E" w:rsidRDefault="0058686E" w:rsidP="007C48A3">
      <w:pPr>
        <w:pStyle w:val="ListParagraph"/>
        <w:numPr>
          <w:ilvl w:val="0"/>
          <w:numId w:val="22"/>
        </w:numPr>
      </w:pPr>
      <w:r>
        <w:t xml:space="preserve">Glove specifications </w:t>
      </w:r>
      <w:r w:rsidR="00E85761">
        <w:t xml:space="preserve">(including hand wraps/ bandaging) </w:t>
      </w:r>
      <w:r>
        <w:t xml:space="preserve">must be submitted with the application for a registrable event and made available to be checked by an authorised inspector at the event.  </w:t>
      </w:r>
    </w:p>
    <w:p w14:paraId="493B3E51" w14:textId="77777777" w:rsidR="006F0561" w:rsidRDefault="006F0561" w:rsidP="007D6786"/>
    <w:p w14:paraId="78AF7B08" w14:textId="77777777" w:rsidR="00DA44BE" w:rsidRDefault="006F0561" w:rsidP="007C48A3">
      <w:pPr>
        <w:pStyle w:val="ListParagraph"/>
        <w:numPr>
          <w:ilvl w:val="0"/>
          <w:numId w:val="22"/>
        </w:numPr>
      </w:pPr>
      <w:r>
        <w:t xml:space="preserve">Excessive use of </w:t>
      </w:r>
      <w:r w:rsidR="009A3636">
        <w:t>petroleum jelly</w:t>
      </w:r>
      <w:r>
        <w:t xml:space="preserve"> </w:t>
      </w:r>
      <w:r w:rsidR="007E1640">
        <w:t xml:space="preserve">(or similar substance) </w:t>
      </w:r>
      <w:r>
        <w:t xml:space="preserve">on the face </w:t>
      </w:r>
      <w:r w:rsidR="007E1640">
        <w:t xml:space="preserve">is </w:t>
      </w:r>
      <w:r>
        <w:t xml:space="preserve">prohibited </w:t>
      </w:r>
      <w:r w:rsidR="007E1640">
        <w:t xml:space="preserve">Use of petroleum jelly (or similar substance) on parts of the body other than the face is prohibited. </w:t>
      </w:r>
    </w:p>
    <w:p w14:paraId="1C06A484" w14:textId="77777777" w:rsidR="00DA44BE" w:rsidRDefault="00DA44BE" w:rsidP="00DA44BE">
      <w:pPr>
        <w:pStyle w:val="ListParagraph"/>
      </w:pPr>
    </w:p>
    <w:p w14:paraId="3566F113" w14:textId="441FF2A3" w:rsidR="006F0561" w:rsidRDefault="007E1640" w:rsidP="007C48A3">
      <w:pPr>
        <w:pStyle w:val="ListParagraph"/>
        <w:numPr>
          <w:ilvl w:val="0"/>
          <w:numId w:val="22"/>
        </w:numPr>
      </w:pPr>
      <w:r>
        <w:t>Corner-staff such as trainers</w:t>
      </w:r>
      <w:r w:rsidR="00DA44BE">
        <w:t xml:space="preserve"> and</w:t>
      </w:r>
      <w:r>
        <w:t xml:space="preserve"> seconds, must ensure any spills</w:t>
      </w:r>
      <w:r w:rsidR="00D35FA7">
        <w:t xml:space="preserve"> on the body of the contestant or on the contest area</w:t>
      </w:r>
      <w:r>
        <w:t xml:space="preserve"> are cleaned up before the commencement/ re-commencement of a contest. </w:t>
      </w:r>
    </w:p>
    <w:p w14:paraId="13BF770C" w14:textId="77777777" w:rsidR="00B05E33" w:rsidRDefault="00B05E33" w:rsidP="007C48A3">
      <w:pPr>
        <w:pStyle w:val="ListParagraph"/>
      </w:pPr>
    </w:p>
    <w:p w14:paraId="435F1DF7" w14:textId="77777777" w:rsidR="00997737" w:rsidRPr="00997737" w:rsidRDefault="00997737" w:rsidP="009133D2">
      <w:pPr>
        <w:rPr>
          <w:b/>
        </w:rPr>
      </w:pPr>
    </w:p>
    <w:p w14:paraId="6FDF22AC" w14:textId="77777777" w:rsidR="00224B64" w:rsidRPr="00A51E0C" w:rsidRDefault="00224B64" w:rsidP="007A6D8E">
      <w:pPr>
        <w:shd w:val="clear" w:color="auto" w:fill="DBE5F1" w:themeFill="accent1" w:themeFillTint="33"/>
        <w:rPr>
          <w:b/>
        </w:rPr>
      </w:pPr>
      <w:r w:rsidRPr="00A51E0C">
        <w:rPr>
          <w:b/>
        </w:rPr>
        <w:t>Integrity of Score Cards</w:t>
      </w:r>
    </w:p>
    <w:p w14:paraId="5E420543" w14:textId="2CA05343" w:rsidR="00224B64" w:rsidRDefault="00224B64" w:rsidP="007C48A3">
      <w:pPr>
        <w:pStyle w:val="ListParagraph"/>
        <w:numPr>
          <w:ilvl w:val="0"/>
          <w:numId w:val="22"/>
        </w:numPr>
      </w:pPr>
      <w:r w:rsidRPr="00224B64">
        <w:t>All score cards used at regist</w:t>
      </w:r>
      <w:r w:rsidR="0058686E">
        <w:t>rable</w:t>
      </w:r>
      <w:r w:rsidRPr="00224B64">
        <w:t xml:space="preserve"> events must clearly show:</w:t>
      </w:r>
    </w:p>
    <w:p w14:paraId="25D0C105" w14:textId="2C45009D" w:rsidR="00224B64" w:rsidRDefault="00224B64" w:rsidP="00777705">
      <w:pPr>
        <w:pStyle w:val="ListParagraph"/>
        <w:numPr>
          <w:ilvl w:val="0"/>
          <w:numId w:val="40"/>
        </w:numPr>
      </w:pPr>
      <w:r w:rsidRPr="00224B64">
        <w:t>the name of each co</w:t>
      </w:r>
      <w:r>
        <w:t>ntestant</w:t>
      </w:r>
      <w:r w:rsidRPr="00224B64">
        <w:t xml:space="preserve"> on each card</w:t>
      </w:r>
      <w:r>
        <w:t xml:space="preserve">; </w:t>
      </w:r>
    </w:p>
    <w:p w14:paraId="5489A2F3" w14:textId="59C44B43" w:rsidR="00224B64" w:rsidRDefault="00224B64" w:rsidP="00777705">
      <w:pPr>
        <w:pStyle w:val="ListParagraph"/>
        <w:numPr>
          <w:ilvl w:val="0"/>
          <w:numId w:val="40"/>
        </w:numPr>
      </w:pPr>
      <w:r w:rsidRPr="00224B64">
        <w:t>the points scored and the round in which the points were scored</w:t>
      </w:r>
      <w:r>
        <w:t xml:space="preserve">; </w:t>
      </w:r>
    </w:p>
    <w:p w14:paraId="3F3D1EB7" w14:textId="012604A4" w:rsidR="00224B64" w:rsidRDefault="00224B64" w:rsidP="00777705">
      <w:pPr>
        <w:pStyle w:val="ListParagraph"/>
        <w:numPr>
          <w:ilvl w:val="0"/>
          <w:numId w:val="40"/>
        </w:numPr>
      </w:pPr>
      <w:r w:rsidRPr="00224B64">
        <w:t>the signature of the judge</w:t>
      </w:r>
      <w:r>
        <w:t xml:space="preserve">, dated; </w:t>
      </w:r>
    </w:p>
    <w:p w14:paraId="26D0358A" w14:textId="2A8CC89E" w:rsidR="00224B64" w:rsidRPr="00224B64" w:rsidRDefault="00224B64" w:rsidP="00777705">
      <w:pPr>
        <w:pStyle w:val="ListParagraph"/>
        <w:numPr>
          <w:ilvl w:val="0"/>
          <w:numId w:val="40"/>
        </w:numPr>
      </w:pPr>
      <w:r w:rsidRPr="00224B64">
        <w:t>any error made and/or changes to the score given initialled by the judge involved.</w:t>
      </w:r>
    </w:p>
    <w:p w14:paraId="1CA2A78E" w14:textId="77777777" w:rsidR="00224B64" w:rsidRPr="00224B64" w:rsidRDefault="00224B64" w:rsidP="00224B64"/>
    <w:p w14:paraId="044D743C" w14:textId="3AC52759" w:rsidR="00997737" w:rsidRPr="00A51E0C" w:rsidRDefault="006F077A" w:rsidP="007A6D8E">
      <w:pPr>
        <w:shd w:val="clear" w:color="auto" w:fill="DBE5F1" w:themeFill="accent1" w:themeFillTint="33"/>
        <w:rPr>
          <w:b/>
        </w:rPr>
      </w:pPr>
      <w:r w:rsidRPr="00A51E0C">
        <w:rPr>
          <w:b/>
        </w:rPr>
        <w:t xml:space="preserve">Appointment of international officials </w:t>
      </w:r>
    </w:p>
    <w:p w14:paraId="0BBBB2C0" w14:textId="7C2EB205" w:rsidR="006F077A" w:rsidRDefault="000E1BA8" w:rsidP="007C48A3">
      <w:pPr>
        <w:pStyle w:val="ListParagraph"/>
        <w:numPr>
          <w:ilvl w:val="0"/>
          <w:numId w:val="22"/>
        </w:numPr>
      </w:pPr>
      <w:r>
        <w:t>The ACT Registrar for Controlled Sports</w:t>
      </w:r>
      <w:r w:rsidR="006F077A">
        <w:t xml:space="preserve"> may app</w:t>
      </w:r>
      <w:r>
        <w:t>rove the use of</w:t>
      </w:r>
      <w:r w:rsidR="006F077A">
        <w:t xml:space="preserve"> international of</w:t>
      </w:r>
      <w:r w:rsidR="00814099">
        <w:t>ficials on a case by case basis upon application by the promoter</w:t>
      </w:r>
      <w:r w:rsidR="00263465">
        <w:t xml:space="preserve"> in accordance with Section 14 (4) of the Act</w:t>
      </w:r>
      <w:r w:rsidR="00814099">
        <w:t xml:space="preserve">. </w:t>
      </w:r>
      <w:r w:rsidR="006F077A">
        <w:t xml:space="preserve"> </w:t>
      </w:r>
    </w:p>
    <w:p w14:paraId="3D958B33" w14:textId="77777777" w:rsidR="006F077A" w:rsidRDefault="006F077A" w:rsidP="006F077A"/>
    <w:p w14:paraId="4D066AED" w14:textId="77777777" w:rsidR="007D6786" w:rsidRDefault="007D6786" w:rsidP="006F077A"/>
    <w:p w14:paraId="1832D1B9" w14:textId="77777777" w:rsidR="00445E17" w:rsidRPr="00445E17" w:rsidRDefault="00445E17" w:rsidP="00445E17">
      <w:pPr>
        <w:shd w:val="clear" w:color="auto" w:fill="DBE5F1" w:themeFill="accent1" w:themeFillTint="33"/>
        <w:rPr>
          <w:b/>
        </w:rPr>
      </w:pPr>
      <w:r w:rsidRPr="00445E17">
        <w:rPr>
          <w:b/>
        </w:rPr>
        <w:t xml:space="preserve">Conflicts of interest: </w:t>
      </w:r>
    </w:p>
    <w:p w14:paraId="70A471E2" w14:textId="73289F88" w:rsidR="00445E17" w:rsidRDefault="00445E17" w:rsidP="007C48A3">
      <w:pPr>
        <w:pStyle w:val="ListParagraph"/>
        <w:numPr>
          <w:ilvl w:val="0"/>
          <w:numId w:val="22"/>
        </w:numPr>
      </w:pPr>
      <w:r w:rsidRPr="001C3F93">
        <w:t>The promoter must not be listed</w:t>
      </w:r>
      <w:r w:rsidR="00D35FA7">
        <w:t xml:space="preserve"> or participate</w:t>
      </w:r>
      <w:r w:rsidRPr="001C3F93">
        <w:t xml:space="preserve"> as a co</w:t>
      </w:r>
      <w:r>
        <w:t xml:space="preserve">ntestant </w:t>
      </w:r>
      <w:r w:rsidRPr="001C3F93">
        <w:t xml:space="preserve">on the </w:t>
      </w:r>
      <w:r>
        <w:t>draw</w:t>
      </w:r>
      <w:r w:rsidRPr="001C3F93">
        <w:t xml:space="preserve"> for the </w:t>
      </w:r>
      <w:r>
        <w:t xml:space="preserve">event </w:t>
      </w:r>
      <w:r w:rsidRPr="001C3F93">
        <w:t xml:space="preserve">that they promote. </w:t>
      </w:r>
    </w:p>
    <w:p w14:paraId="6FB1D679" w14:textId="77777777" w:rsidR="00445E17" w:rsidRDefault="00445E17" w:rsidP="007C48A3">
      <w:pPr>
        <w:pStyle w:val="ListParagraph"/>
      </w:pPr>
    </w:p>
    <w:p w14:paraId="147DC50A" w14:textId="787D0F1A" w:rsidR="00445E17" w:rsidRDefault="00445E17" w:rsidP="007C48A3">
      <w:pPr>
        <w:pStyle w:val="ListParagraph"/>
        <w:numPr>
          <w:ilvl w:val="0"/>
          <w:numId w:val="22"/>
        </w:numPr>
      </w:pPr>
      <w:r w:rsidRPr="005B5A5A">
        <w:t xml:space="preserve">The promoter must not act as a judge, referee or timekeeper at </w:t>
      </w:r>
      <w:r>
        <w:t xml:space="preserve">an event </w:t>
      </w:r>
      <w:r w:rsidRPr="005B5A5A">
        <w:t xml:space="preserve">that they promote; nor will they work in the corner of any </w:t>
      </w:r>
      <w:r>
        <w:t>contestant</w:t>
      </w:r>
      <w:r w:rsidRPr="005B5A5A">
        <w:t xml:space="preserve"> </w:t>
      </w:r>
      <w:r>
        <w:t>for an event</w:t>
      </w:r>
      <w:r w:rsidRPr="005B5A5A">
        <w:t xml:space="preserve"> that they promote. </w:t>
      </w:r>
    </w:p>
    <w:p w14:paraId="37FCC575" w14:textId="77777777" w:rsidR="00445E17" w:rsidRDefault="00445E17" w:rsidP="007C48A3">
      <w:pPr>
        <w:pStyle w:val="ListParagraph"/>
      </w:pPr>
    </w:p>
    <w:p w14:paraId="32DB0A9C" w14:textId="7C8551F9" w:rsidR="00445E17" w:rsidRDefault="00D35FA7" w:rsidP="007C48A3">
      <w:pPr>
        <w:pStyle w:val="ListParagraph"/>
        <w:numPr>
          <w:ilvl w:val="0"/>
          <w:numId w:val="22"/>
        </w:numPr>
      </w:pPr>
      <w:r>
        <w:t xml:space="preserve">The </w:t>
      </w:r>
      <w:r w:rsidR="000E1BA8">
        <w:t>ACT Registrar for Controlled Sports</w:t>
      </w:r>
      <w:r>
        <w:t xml:space="preserve"> or their representative</w:t>
      </w:r>
      <w:r w:rsidR="00445E17">
        <w:t xml:space="preserve"> has the authority to refuse approval, or remove previously approved authorisation of a regist</w:t>
      </w:r>
      <w:r w:rsidR="0058686E">
        <w:t>rable</w:t>
      </w:r>
      <w:r w:rsidR="00445E17">
        <w:t xml:space="preserve"> controlled sports event, where there is a real or perceived conflict of interest between any officials and/or contestants. The </w:t>
      </w:r>
      <w:r w:rsidR="000E1BA8">
        <w:t xml:space="preserve">ACT Registrar for Controlled Sports </w:t>
      </w:r>
      <w:r w:rsidR="004841CC">
        <w:t xml:space="preserve">or their representative </w:t>
      </w:r>
      <w:r w:rsidR="00445E17">
        <w:t xml:space="preserve">reserves the right to provide conditional approval where the promoter has agreed to remove an official or contestant from the event. </w:t>
      </w:r>
    </w:p>
    <w:p w14:paraId="59A4F09F" w14:textId="77777777" w:rsidR="0060758C" w:rsidRDefault="0060758C" w:rsidP="00E4319C"/>
    <w:p w14:paraId="63CE2136" w14:textId="77777777" w:rsidR="00445E17" w:rsidRPr="00785122" w:rsidRDefault="00445E17" w:rsidP="00445E17">
      <w:pPr>
        <w:shd w:val="clear" w:color="auto" w:fill="DBE5F1" w:themeFill="accent1" w:themeFillTint="33"/>
        <w:rPr>
          <w:b/>
        </w:rPr>
      </w:pPr>
      <w:r w:rsidRPr="00785122">
        <w:rPr>
          <w:b/>
        </w:rPr>
        <w:t xml:space="preserve">Entertainment </w:t>
      </w:r>
    </w:p>
    <w:p w14:paraId="75DD10D8" w14:textId="18F7E803" w:rsidR="00445E17" w:rsidRDefault="00445E17" w:rsidP="007C48A3">
      <w:pPr>
        <w:pStyle w:val="ListParagraph"/>
        <w:numPr>
          <w:ilvl w:val="0"/>
          <w:numId w:val="22"/>
        </w:numPr>
      </w:pPr>
      <w:r>
        <w:t xml:space="preserve">The promoter of the event must not allow sexually explicit entertainment at a </w:t>
      </w:r>
      <w:r w:rsidR="00DA44BE">
        <w:t xml:space="preserve">registered event. </w:t>
      </w:r>
    </w:p>
    <w:p w14:paraId="798C814B" w14:textId="2A41AFD4" w:rsidR="00DA44BE" w:rsidRDefault="00DA44BE" w:rsidP="00DA44BE">
      <w:pPr>
        <w:pStyle w:val="ListParagraph"/>
        <w:numPr>
          <w:ilvl w:val="1"/>
          <w:numId w:val="22"/>
        </w:numPr>
      </w:pPr>
      <w:r>
        <w:t xml:space="preserve">For the purpose of this Section, sexually explicit entertainment is a performance or other entertainment -  </w:t>
      </w:r>
      <w:r>
        <w:tab/>
      </w:r>
    </w:p>
    <w:p w14:paraId="640385B6" w14:textId="28BB26BA" w:rsidR="00DA44BE" w:rsidRDefault="00DA44BE" w:rsidP="00DA44BE">
      <w:pPr>
        <w:pStyle w:val="ListParagraph"/>
        <w:numPr>
          <w:ilvl w:val="2"/>
          <w:numId w:val="22"/>
        </w:numPr>
      </w:pPr>
      <w:r>
        <w:t xml:space="preserve">In which a person displays genitalia; or </w:t>
      </w:r>
    </w:p>
    <w:p w14:paraId="08ACC0A3" w14:textId="77777777" w:rsidR="00DA44BE" w:rsidRDefault="00DA44BE" w:rsidP="00DA44BE">
      <w:pPr>
        <w:pStyle w:val="ListParagraph"/>
        <w:numPr>
          <w:ilvl w:val="2"/>
          <w:numId w:val="22"/>
        </w:numPr>
      </w:pPr>
      <w:r>
        <w:t>That includes sexual intercourse</w:t>
      </w:r>
    </w:p>
    <w:p w14:paraId="7D5E6B3B" w14:textId="77777777" w:rsidR="00DA44BE" w:rsidRDefault="00DA44BE" w:rsidP="00DA44BE"/>
    <w:p w14:paraId="3101E398" w14:textId="2A44BE35" w:rsidR="00DA44BE" w:rsidRPr="00DA44BE" w:rsidRDefault="00DA44BE" w:rsidP="00DA44BE">
      <w:pPr>
        <w:ind w:firstLine="720"/>
        <w:rPr>
          <w:i/>
          <w:sz w:val="22"/>
        </w:rPr>
      </w:pPr>
      <w:r w:rsidRPr="00DA44BE">
        <w:rPr>
          <w:i/>
          <w:sz w:val="22"/>
        </w:rPr>
        <w:t>Note: Sexual Intercourse - see the Crimes Act 1900, Section 50</w:t>
      </w:r>
    </w:p>
    <w:p w14:paraId="51A8C943" w14:textId="77777777" w:rsidR="00DA44BE" w:rsidRDefault="00DA44BE" w:rsidP="004841CC"/>
    <w:p w14:paraId="66E303A0" w14:textId="77777777" w:rsidR="00445E17" w:rsidRDefault="00445E17" w:rsidP="007C48A3">
      <w:pPr>
        <w:pStyle w:val="ListParagraph"/>
        <w:numPr>
          <w:ilvl w:val="0"/>
          <w:numId w:val="22"/>
        </w:numPr>
      </w:pPr>
      <w:r>
        <w:lastRenderedPageBreak/>
        <w:t xml:space="preserve">Where there are children under the age of 18 years in attendance, entertainment must be age appropriate.  </w:t>
      </w:r>
    </w:p>
    <w:p w14:paraId="2E0EF8D4" w14:textId="77777777" w:rsidR="00445E17" w:rsidRDefault="00445E17" w:rsidP="007C48A3">
      <w:pPr>
        <w:pStyle w:val="ListParagraph"/>
      </w:pPr>
    </w:p>
    <w:p w14:paraId="0F6C9F7B" w14:textId="77777777" w:rsidR="00445E17" w:rsidRPr="00DA44BE" w:rsidRDefault="00445E17" w:rsidP="00445E17">
      <w:pPr>
        <w:ind w:left="720"/>
        <w:rPr>
          <w:i/>
          <w:sz w:val="22"/>
        </w:rPr>
      </w:pPr>
      <w:r w:rsidRPr="00DA44BE">
        <w:rPr>
          <w:i/>
          <w:sz w:val="22"/>
        </w:rPr>
        <w:t>Note – children under the age of 18 may be in attendance in any capacity, for example, as contestants, officials, or spectating public.</w:t>
      </w:r>
    </w:p>
    <w:p w14:paraId="552EE994" w14:textId="77777777" w:rsidR="00445E17" w:rsidRPr="00DA44BE" w:rsidRDefault="00445E17" w:rsidP="00445E17">
      <w:pPr>
        <w:ind w:left="720"/>
        <w:rPr>
          <w:i/>
          <w:sz w:val="22"/>
        </w:rPr>
      </w:pPr>
    </w:p>
    <w:p w14:paraId="03C3BFF1" w14:textId="794CDE2D" w:rsidR="00445E17" w:rsidRPr="00DA44BE" w:rsidRDefault="00445E17" w:rsidP="00445E17">
      <w:pPr>
        <w:ind w:left="720"/>
        <w:rPr>
          <w:sz w:val="22"/>
        </w:rPr>
      </w:pPr>
      <w:r w:rsidRPr="00DA44BE">
        <w:rPr>
          <w:i/>
          <w:sz w:val="22"/>
        </w:rPr>
        <w:t xml:space="preserve">Example – no sexually explicit content, nudity, violent or derogatory acts, as a form of </w:t>
      </w:r>
      <w:r w:rsidR="00000ACF" w:rsidRPr="00DA44BE">
        <w:rPr>
          <w:i/>
          <w:sz w:val="22"/>
        </w:rPr>
        <w:t xml:space="preserve">event </w:t>
      </w:r>
      <w:r w:rsidRPr="00DA44BE">
        <w:rPr>
          <w:i/>
          <w:sz w:val="22"/>
        </w:rPr>
        <w:t xml:space="preserve">entertainment.  </w:t>
      </w:r>
      <w:r w:rsidRPr="00DA44BE">
        <w:rPr>
          <w:sz w:val="22"/>
        </w:rPr>
        <w:t xml:space="preserve"> </w:t>
      </w:r>
    </w:p>
    <w:p w14:paraId="228286F1" w14:textId="77777777" w:rsidR="00445E17" w:rsidRDefault="00445E17" w:rsidP="007C48A3"/>
    <w:p w14:paraId="7BDEEC32" w14:textId="77777777" w:rsidR="00E0517D" w:rsidRDefault="00E0517D" w:rsidP="00E0517D"/>
    <w:p w14:paraId="16C66889" w14:textId="77777777" w:rsidR="00445E17" w:rsidRDefault="00445E17" w:rsidP="00C1181F">
      <w:pPr>
        <w:rPr>
          <w:b/>
          <w:szCs w:val="32"/>
        </w:rPr>
      </w:pPr>
    </w:p>
    <w:p w14:paraId="54A51AFF" w14:textId="04A27DC3" w:rsidR="003B17F7" w:rsidRDefault="003B17F7">
      <w:pPr>
        <w:rPr>
          <w:b/>
          <w:szCs w:val="32"/>
        </w:rPr>
      </w:pPr>
      <w:r>
        <w:rPr>
          <w:b/>
          <w:szCs w:val="32"/>
        </w:rPr>
        <w:br w:type="page"/>
      </w:r>
    </w:p>
    <w:p w14:paraId="68BF4C66" w14:textId="77777777" w:rsidR="00445E17" w:rsidRDefault="00445E17" w:rsidP="00C1181F">
      <w:pPr>
        <w:rPr>
          <w:b/>
          <w:szCs w:val="32"/>
        </w:rPr>
      </w:pPr>
    </w:p>
    <w:p w14:paraId="261488D1" w14:textId="7CD17B2F" w:rsidR="00C1181F" w:rsidRDefault="00C1181F" w:rsidP="00C1181F">
      <w:pPr>
        <w:rPr>
          <w:b/>
          <w:sz w:val="32"/>
          <w:szCs w:val="32"/>
        </w:rPr>
      </w:pPr>
      <w:r w:rsidRPr="00C1181F">
        <w:rPr>
          <w:b/>
          <w:szCs w:val="32"/>
        </w:rPr>
        <w:t>Schedule 2</w:t>
      </w:r>
      <w:r>
        <w:rPr>
          <w:b/>
          <w:sz w:val="32"/>
          <w:szCs w:val="32"/>
        </w:rPr>
        <w:t xml:space="preserve"> </w:t>
      </w:r>
    </w:p>
    <w:p w14:paraId="73412AD1" w14:textId="77777777" w:rsidR="00C1181F" w:rsidRPr="00594EB2" w:rsidRDefault="00C1181F" w:rsidP="00C1181F">
      <w:pPr>
        <w:jc w:val="center"/>
        <w:rPr>
          <w:b/>
          <w:sz w:val="32"/>
          <w:szCs w:val="32"/>
        </w:rPr>
      </w:pPr>
      <w:r>
        <w:rPr>
          <w:b/>
          <w:sz w:val="32"/>
          <w:szCs w:val="32"/>
        </w:rPr>
        <w:t xml:space="preserve">Controlled Sports </w:t>
      </w:r>
      <w:r w:rsidRPr="00594EB2">
        <w:rPr>
          <w:b/>
          <w:sz w:val="32"/>
          <w:szCs w:val="32"/>
        </w:rPr>
        <w:t xml:space="preserve">Code of </w:t>
      </w:r>
      <w:r>
        <w:rPr>
          <w:b/>
          <w:sz w:val="32"/>
          <w:szCs w:val="32"/>
        </w:rPr>
        <w:t>Practice</w:t>
      </w:r>
    </w:p>
    <w:p w14:paraId="1413F53C" w14:textId="77777777" w:rsidR="00C1181F" w:rsidRDefault="00C1181F" w:rsidP="00997737">
      <w:pPr>
        <w:pStyle w:val="ScheduleHeading1"/>
      </w:pPr>
    </w:p>
    <w:p w14:paraId="798B16A5" w14:textId="29BB6776" w:rsidR="009133D2" w:rsidRPr="00C1181F" w:rsidRDefault="009133D2" w:rsidP="00C1181F">
      <w:pPr>
        <w:pStyle w:val="ScheduleHeading1"/>
        <w:pBdr>
          <w:top w:val="single" w:sz="4" w:space="1" w:color="auto"/>
          <w:left w:val="single" w:sz="4" w:space="4" w:color="auto"/>
          <w:bottom w:val="single" w:sz="4" w:space="1" w:color="auto"/>
          <w:right w:val="single" w:sz="4" w:space="4" w:color="auto"/>
        </w:pBdr>
        <w:shd w:val="clear" w:color="auto" w:fill="BFBFBF" w:themeFill="background1" w:themeFillShade="BF"/>
      </w:pPr>
      <w:r w:rsidRPr="00B40F65">
        <w:t>Matters</w:t>
      </w:r>
      <w:r w:rsidR="00997737">
        <w:t xml:space="preserve"> relating</w:t>
      </w:r>
      <w:r w:rsidRPr="00B40F65">
        <w:t xml:space="preserve"> to </w:t>
      </w:r>
      <w:r w:rsidRPr="00997737">
        <w:rPr>
          <w:i/>
        </w:rPr>
        <w:t>non-regist</w:t>
      </w:r>
      <w:r w:rsidR="00C1181F">
        <w:rPr>
          <w:i/>
        </w:rPr>
        <w:t xml:space="preserve">rable </w:t>
      </w:r>
      <w:r w:rsidRPr="00C1181F">
        <w:t xml:space="preserve">events </w:t>
      </w:r>
    </w:p>
    <w:p w14:paraId="1196E7CB" w14:textId="77777777" w:rsidR="009133D2" w:rsidRDefault="009133D2" w:rsidP="00403B45"/>
    <w:p w14:paraId="16DFBCB8" w14:textId="6A93CFCB" w:rsidR="00B40F65" w:rsidRDefault="00773222" w:rsidP="0040725B">
      <w:pPr>
        <w:pStyle w:val="ListParagraph"/>
        <w:numPr>
          <w:ilvl w:val="0"/>
          <w:numId w:val="48"/>
        </w:numPr>
      </w:pPr>
      <w:r>
        <w:t>The</w:t>
      </w:r>
      <w:r w:rsidR="009133D2" w:rsidRPr="000B1A72">
        <w:t xml:space="preserve"> </w:t>
      </w:r>
      <w:r>
        <w:t>promoter of the non-regist</w:t>
      </w:r>
      <w:r w:rsidR="0058686E">
        <w:t>rable</w:t>
      </w:r>
      <w:r>
        <w:t xml:space="preserve"> event</w:t>
      </w:r>
      <w:r w:rsidR="009133D2" w:rsidRPr="000B1A72">
        <w:t xml:space="preserve"> must supply a copy of </w:t>
      </w:r>
      <w:r>
        <w:t xml:space="preserve">the </w:t>
      </w:r>
      <w:r w:rsidR="009133D2" w:rsidRPr="000B1A72">
        <w:t>final approval</w:t>
      </w:r>
      <w:r>
        <w:t xml:space="preserve"> from the </w:t>
      </w:r>
      <w:r w:rsidR="00B60437">
        <w:t>Authorised C</w:t>
      </w:r>
      <w:r>
        <w:t xml:space="preserve">ontrolled </w:t>
      </w:r>
      <w:r w:rsidR="00B60437">
        <w:t>S</w:t>
      </w:r>
      <w:r>
        <w:t xml:space="preserve">ports </w:t>
      </w:r>
      <w:r w:rsidR="00B60437">
        <w:t>B</w:t>
      </w:r>
      <w:r>
        <w:t xml:space="preserve">ody to the </w:t>
      </w:r>
      <w:r w:rsidR="000E1BA8">
        <w:t>ACT Registrar for Controlled Sports or their representative</w:t>
      </w:r>
      <w:r w:rsidR="009133D2" w:rsidRPr="000B1A72">
        <w:t xml:space="preserve">, </w:t>
      </w:r>
      <w:r w:rsidR="00B40F65" w:rsidRPr="000B1A72">
        <w:t xml:space="preserve">no later than 5 </w:t>
      </w:r>
      <w:r w:rsidR="00B40F65">
        <w:t xml:space="preserve">business </w:t>
      </w:r>
      <w:r w:rsidR="00B40F65" w:rsidRPr="000B1A72">
        <w:t>days prior to the event</w:t>
      </w:r>
      <w:r w:rsidR="00B40F65">
        <w:t xml:space="preserve">. This information must include: </w:t>
      </w:r>
    </w:p>
    <w:p w14:paraId="716FD8B2" w14:textId="77777777" w:rsidR="00B40F65" w:rsidRDefault="00B40F65" w:rsidP="00B40F65">
      <w:pPr>
        <w:pStyle w:val="ListParagraph"/>
      </w:pPr>
    </w:p>
    <w:p w14:paraId="6AD9290F" w14:textId="54181CA0" w:rsidR="00B40F65" w:rsidRDefault="00B40F65" w:rsidP="008F3F43">
      <w:pPr>
        <w:pStyle w:val="ListParagraph"/>
        <w:numPr>
          <w:ilvl w:val="0"/>
          <w:numId w:val="44"/>
        </w:numPr>
      </w:pPr>
      <w:r>
        <w:t xml:space="preserve">A copy of the approval to hold the event from the </w:t>
      </w:r>
      <w:r w:rsidR="00B60437">
        <w:t>Authorised C</w:t>
      </w:r>
      <w:r>
        <w:t xml:space="preserve">ontrolled </w:t>
      </w:r>
      <w:r w:rsidR="00B60437">
        <w:t>S</w:t>
      </w:r>
      <w:r>
        <w:t xml:space="preserve">ports </w:t>
      </w:r>
      <w:r w:rsidR="00B60437">
        <w:t>B</w:t>
      </w:r>
      <w:r>
        <w:t xml:space="preserve">ody; </w:t>
      </w:r>
    </w:p>
    <w:p w14:paraId="6546FF48" w14:textId="68B301AF" w:rsidR="009133D2" w:rsidRDefault="00B40F65" w:rsidP="008F3F43">
      <w:pPr>
        <w:pStyle w:val="ListParagraph"/>
        <w:numPr>
          <w:ilvl w:val="0"/>
          <w:numId w:val="44"/>
        </w:numPr>
      </w:pPr>
      <w:r>
        <w:t xml:space="preserve">A copy of the relevant insurance coverage for the event. </w:t>
      </w:r>
    </w:p>
    <w:p w14:paraId="73833036" w14:textId="77777777" w:rsidR="00403B45" w:rsidRPr="00403B45" w:rsidRDefault="00403B45" w:rsidP="00403B45">
      <w:pPr>
        <w:rPr>
          <w:i/>
        </w:rPr>
      </w:pPr>
    </w:p>
    <w:p w14:paraId="65656C18" w14:textId="267DF2B5" w:rsidR="00C00C67" w:rsidRPr="00777705" w:rsidRDefault="00C00C67" w:rsidP="0040725B">
      <w:pPr>
        <w:pStyle w:val="ListParagraph"/>
        <w:numPr>
          <w:ilvl w:val="0"/>
          <w:numId w:val="48"/>
        </w:numPr>
        <w:rPr>
          <w:i/>
        </w:rPr>
      </w:pPr>
      <w:r>
        <w:t xml:space="preserve">Where the promoter is unsure if the proposed event is a registrable or non-registrable event, it is their responsibility to clarify this matter with the </w:t>
      </w:r>
      <w:r w:rsidR="000E1BA8">
        <w:t>ACT Registrar for Controlled Sports or their representative</w:t>
      </w:r>
      <w:r>
        <w:t xml:space="preserve"> </w:t>
      </w:r>
      <w:r w:rsidRPr="00C00C67">
        <w:rPr>
          <w:u w:val="single"/>
        </w:rPr>
        <w:t>before</w:t>
      </w:r>
      <w:r>
        <w:t xml:space="preserve"> the event occurs in the timeframes specified in this code of practice.  </w:t>
      </w:r>
    </w:p>
    <w:p w14:paraId="4DF2D1B2" w14:textId="77777777" w:rsidR="00777705" w:rsidRPr="00777705" w:rsidRDefault="00777705" w:rsidP="00777705">
      <w:pPr>
        <w:pStyle w:val="ListParagraph"/>
        <w:rPr>
          <w:i/>
        </w:rPr>
      </w:pPr>
    </w:p>
    <w:p w14:paraId="4F3561B9" w14:textId="77636B2F" w:rsidR="00777705" w:rsidRPr="00C00C67" w:rsidRDefault="00777705" w:rsidP="0040725B">
      <w:pPr>
        <w:pStyle w:val="ListParagraph"/>
        <w:numPr>
          <w:ilvl w:val="0"/>
          <w:numId w:val="48"/>
        </w:numPr>
        <w:rPr>
          <w:i/>
        </w:rPr>
      </w:pPr>
      <w:r>
        <w:t xml:space="preserve">The promoter of the non-registrable event must not represent any Authorised Controlled Sports Body that approved the holding of the event. </w:t>
      </w:r>
    </w:p>
    <w:p w14:paraId="1117D081" w14:textId="77777777" w:rsidR="00364B83" w:rsidRDefault="00364B83" w:rsidP="009133D2">
      <w:pPr>
        <w:pStyle w:val="ListParagraph"/>
        <w:rPr>
          <w:i/>
        </w:rPr>
      </w:pPr>
    </w:p>
    <w:p w14:paraId="1D9F5592" w14:textId="77777777" w:rsidR="003B17F7" w:rsidRPr="007D4458" w:rsidRDefault="003B17F7" w:rsidP="004841CC">
      <w:pPr>
        <w:rPr>
          <w:i/>
          <w:sz w:val="22"/>
        </w:rPr>
      </w:pPr>
    </w:p>
    <w:p w14:paraId="190DA06D" w14:textId="77777777" w:rsidR="003B17F7" w:rsidRPr="00862C93" w:rsidRDefault="003B17F7" w:rsidP="003B17F7">
      <w:pPr>
        <w:shd w:val="clear" w:color="auto" w:fill="DBE5F1" w:themeFill="accent1" w:themeFillTint="33"/>
        <w:rPr>
          <w:b/>
        </w:rPr>
      </w:pPr>
      <w:r>
        <w:rPr>
          <w:b/>
        </w:rPr>
        <w:t xml:space="preserve">Inspectors and Government Officials </w:t>
      </w:r>
    </w:p>
    <w:p w14:paraId="3AD02361" w14:textId="7142CE14" w:rsidR="003B17F7" w:rsidRDefault="0040725B" w:rsidP="0040725B">
      <w:pPr>
        <w:pStyle w:val="ListParagraph"/>
        <w:numPr>
          <w:ilvl w:val="0"/>
          <w:numId w:val="48"/>
        </w:numPr>
      </w:pPr>
      <w:r>
        <w:t xml:space="preserve">The ACT Registrar for Controlled Sports </w:t>
      </w:r>
      <w:r w:rsidR="003B17F7">
        <w:t>or their</w:t>
      </w:r>
      <w:r>
        <w:t xml:space="preserve"> representative</w:t>
      </w:r>
      <w:r w:rsidR="003B17F7" w:rsidRPr="005B5A5A">
        <w:t>, in t</w:t>
      </w:r>
      <w:r w:rsidR="003B17F7">
        <w:t>he course of their duties must</w:t>
      </w:r>
      <w:r w:rsidR="003B17F7" w:rsidRPr="005B5A5A">
        <w:t xml:space="preserve"> be provided with access free of charge to all </w:t>
      </w:r>
      <w:r w:rsidR="003B17F7">
        <w:t>controlled sports events</w:t>
      </w:r>
      <w:r w:rsidR="003B17F7" w:rsidRPr="005B5A5A">
        <w:t xml:space="preserve">, </w:t>
      </w:r>
      <w:r w:rsidR="003B17F7">
        <w:t>pre-contest</w:t>
      </w:r>
      <w:r w:rsidR="003B17F7" w:rsidRPr="005B5A5A">
        <w:t xml:space="preserve"> medical examinations and weigh-ins and are to be provided with a seat at the </w:t>
      </w:r>
      <w:r w:rsidR="003B17F7">
        <w:t>contest</w:t>
      </w:r>
      <w:r w:rsidR="003B17F7" w:rsidRPr="005B5A5A">
        <w:t xml:space="preserve"> side with </w:t>
      </w:r>
      <w:r w:rsidR="003B17F7">
        <w:t xml:space="preserve">an </w:t>
      </w:r>
      <w:r w:rsidR="003B17F7" w:rsidRPr="005B5A5A">
        <w:t xml:space="preserve">unobstructed view of the </w:t>
      </w:r>
      <w:r w:rsidR="003B17F7">
        <w:t>contest</w:t>
      </w:r>
      <w:r w:rsidR="003B17F7" w:rsidRPr="005B5A5A">
        <w:t xml:space="preserve"> area.  </w:t>
      </w:r>
    </w:p>
    <w:p w14:paraId="3B714BC3" w14:textId="77777777" w:rsidR="00403B45" w:rsidRDefault="00403B45" w:rsidP="00403B45">
      <w:pPr>
        <w:pStyle w:val="ListParagraph"/>
      </w:pPr>
    </w:p>
    <w:p w14:paraId="04744B8A" w14:textId="09769BB7" w:rsidR="00403B45" w:rsidRPr="00403B45" w:rsidRDefault="00403B45" w:rsidP="00403B45">
      <w:pPr>
        <w:pStyle w:val="ListParagraph"/>
        <w:numPr>
          <w:ilvl w:val="0"/>
          <w:numId w:val="48"/>
        </w:numPr>
        <w:rPr>
          <w:i/>
        </w:rPr>
      </w:pPr>
      <w:r>
        <w:t xml:space="preserve">A copy of the final draw must be made available to a controlled sports inspector or other authorised ACT Government representative on the day of the event. </w:t>
      </w:r>
    </w:p>
    <w:p w14:paraId="700C50E5" w14:textId="77777777" w:rsidR="00403B45" w:rsidRPr="005B5A5A" w:rsidRDefault="00403B45" w:rsidP="00403B45">
      <w:pPr>
        <w:pStyle w:val="ListParagraph"/>
      </w:pPr>
    </w:p>
    <w:p w14:paraId="3B164C6C" w14:textId="77777777" w:rsidR="00587715" w:rsidRDefault="00587715" w:rsidP="00587715">
      <w:pPr>
        <w:rPr>
          <w:i/>
        </w:rPr>
      </w:pPr>
    </w:p>
    <w:p w14:paraId="47542250" w14:textId="01B522BF" w:rsidR="00587715" w:rsidRPr="00587715" w:rsidRDefault="00587715" w:rsidP="00587715">
      <w:pPr>
        <w:shd w:val="clear" w:color="auto" w:fill="DBE5F1" w:themeFill="accent1" w:themeFillTint="33"/>
        <w:rPr>
          <w:b/>
        </w:rPr>
      </w:pPr>
      <w:r>
        <w:rPr>
          <w:b/>
        </w:rPr>
        <w:t xml:space="preserve">Contest Rules </w:t>
      </w:r>
    </w:p>
    <w:p w14:paraId="4301A3D8" w14:textId="523F9A56" w:rsidR="00587715" w:rsidRDefault="00587715" w:rsidP="0040725B">
      <w:pPr>
        <w:pStyle w:val="ListParagraph"/>
        <w:numPr>
          <w:ilvl w:val="0"/>
          <w:numId w:val="48"/>
        </w:numPr>
        <w:spacing w:before="140"/>
      </w:pPr>
      <w:r>
        <w:t xml:space="preserve">Non-registrable controlled sports events </w:t>
      </w:r>
      <w:r w:rsidRPr="009133D2">
        <w:t>may only be conducted in accordance with the rules s</w:t>
      </w:r>
      <w:r>
        <w:t xml:space="preserve">pecified in the notification of the event </w:t>
      </w:r>
      <w:r w:rsidR="006558CF">
        <w:t xml:space="preserve">supplied under Section 62 (2) of the Act. </w:t>
      </w:r>
    </w:p>
    <w:p w14:paraId="30F775FA" w14:textId="77777777" w:rsidR="00587715" w:rsidRDefault="00587715" w:rsidP="00587715">
      <w:pPr>
        <w:pStyle w:val="ListParagraph"/>
        <w:spacing w:before="140"/>
      </w:pPr>
    </w:p>
    <w:p w14:paraId="48B3E5D7" w14:textId="7AFD46A6" w:rsidR="00587715" w:rsidRDefault="00587715" w:rsidP="0040725B">
      <w:pPr>
        <w:pStyle w:val="ListParagraph"/>
        <w:numPr>
          <w:ilvl w:val="0"/>
          <w:numId w:val="48"/>
        </w:numPr>
        <w:spacing w:before="140"/>
      </w:pPr>
      <w:r>
        <w:t xml:space="preserve">Multiple sets of rules are permitted for multi-disciplinary events. All rules must be listed in the notification of the event specified </w:t>
      </w:r>
      <w:r w:rsidR="00655D04">
        <w:t>under Section 62 (2) of the Act</w:t>
      </w:r>
      <w:r>
        <w:t xml:space="preserve">. To avoid further doubt, only one set of rules can be used for singular contests. </w:t>
      </w:r>
    </w:p>
    <w:p w14:paraId="38854F75" w14:textId="77777777" w:rsidR="00587715" w:rsidRDefault="00587715" w:rsidP="00587715">
      <w:pPr>
        <w:pStyle w:val="ListParagraph"/>
        <w:spacing w:before="140"/>
      </w:pPr>
    </w:p>
    <w:p w14:paraId="6D4619FC" w14:textId="77777777" w:rsidR="00587715" w:rsidRDefault="00587715" w:rsidP="0040725B">
      <w:pPr>
        <w:pStyle w:val="ListParagraph"/>
        <w:numPr>
          <w:ilvl w:val="0"/>
          <w:numId w:val="48"/>
        </w:numPr>
      </w:pPr>
      <w:r w:rsidRPr="005B5A5A">
        <w:t>Where the rules of the co</w:t>
      </w:r>
      <w:r>
        <w:t xml:space="preserve">ntrolled </w:t>
      </w:r>
      <w:r w:rsidRPr="005B5A5A">
        <w:t xml:space="preserve">sport conflict with this Code of Practice, the Code of Practice will apply. </w:t>
      </w:r>
    </w:p>
    <w:p w14:paraId="355FDAA0" w14:textId="77777777" w:rsidR="00587715" w:rsidRDefault="00587715" w:rsidP="00587715">
      <w:pPr>
        <w:pStyle w:val="ListParagraph"/>
      </w:pPr>
    </w:p>
    <w:p w14:paraId="3952EC30" w14:textId="11028212" w:rsidR="00587715" w:rsidRPr="009133D2" w:rsidRDefault="00587715" w:rsidP="0040725B">
      <w:pPr>
        <w:pStyle w:val="ListParagraph"/>
        <w:numPr>
          <w:ilvl w:val="0"/>
          <w:numId w:val="48"/>
        </w:numPr>
      </w:pPr>
      <w:r>
        <w:t>A non-registrable event is permitted to run concurrently or consecutively with a</w:t>
      </w:r>
      <w:r w:rsidR="003A59E2">
        <w:t xml:space="preserve">n </w:t>
      </w:r>
      <w:r>
        <w:t xml:space="preserve">exempted light contact combat sport as specified under Section 8 of the Act. </w:t>
      </w:r>
    </w:p>
    <w:p w14:paraId="26864498" w14:textId="77777777" w:rsidR="009133D2" w:rsidRPr="005B5A5A" w:rsidRDefault="009133D2" w:rsidP="009133D2">
      <w:pPr>
        <w:pStyle w:val="ListParagraph"/>
      </w:pPr>
    </w:p>
    <w:p w14:paraId="430C7298" w14:textId="77777777" w:rsidR="009133D2" w:rsidRPr="00353047" w:rsidRDefault="009133D2" w:rsidP="00E51F6E">
      <w:pPr>
        <w:rPr>
          <w:u w:val="single"/>
        </w:rPr>
      </w:pPr>
    </w:p>
    <w:p w14:paraId="6FE6B1B9" w14:textId="322CB0F3" w:rsidR="00353047" w:rsidRPr="00997737" w:rsidRDefault="00997737" w:rsidP="00B60437">
      <w:pPr>
        <w:shd w:val="clear" w:color="auto" w:fill="DBE5F1" w:themeFill="accent1" w:themeFillTint="33"/>
        <w:rPr>
          <w:b/>
        </w:rPr>
      </w:pPr>
      <w:r w:rsidRPr="00997737">
        <w:rPr>
          <w:b/>
        </w:rPr>
        <w:t xml:space="preserve">Medical </w:t>
      </w:r>
      <w:r w:rsidR="00B60437">
        <w:rPr>
          <w:b/>
        </w:rPr>
        <w:t>Requirements</w:t>
      </w:r>
    </w:p>
    <w:p w14:paraId="7F3EC1DF" w14:textId="46A79AF6" w:rsidR="008A32B0" w:rsidRDefault="00997737" w:rsidP="005D393C">
      <w:pPr>
        <w:pStyle w:val="ListParagraph"/>
        <w:numPr>
          <w:ilvl w:val="0"/>
          <w:numId w:val="48"/>
        </w:numPr>
        <w:spacing w:before="140"/>
      </w:pPr>
      <w:r>
        <w:t>All contestants competing in non-regist</w:t>
      </w:r>
      <w:r w:rsidR="0058686E">
        <w:t>rable</w:t>
      </w:r>
      <w:r>
        <w:t xml:space="preserve"> events must have met all specified requirements of the </w:t>
      </w:r>
      <w:r w:rsidR="00B60437">
        <w:t>Authorised</w:t>
      </w:r>
      <w:r>
        <w:t xml:space="preserve"> </w:t>
      </w:r>
      <w:r w:rsidR="00B60437">
        <w:t>C</w:t>
      </w:r>
      <w:r>
        <w:t xml:space="preserve">ontrolled </w:t>
      </w:r>
      <w:r w:rsidR="00B60437">
        <w:t>S</w:t>
      </w:r>
      <w:r>
        <w:t xml:space="preserve">ports </w:t>
      </w:r>
      <w:r w:rsidR="00B60437">
        <w:t>B</w:t>
      </w:r>
      <w:r>
        <w:t xml:space="preserve">ody that is </w:t>
      </w:r>
      <w:r w:rsidR="0058686E">
        <w:t>authorising</w:t>
      </w:r>
      <w:r>
        <w:t xml:space="preserve"> the event. </w:t>
      </w:r>
    </w:p>
    <w:p w14:paraId="5C3B477A" w14:textId="6D10C7CE" w:rsidR="00327589" w:rsidRPr="006558CF" w:rsidRDefault="00327589" w:rsidP="006558CF">
      <w:pPr>
        <w:spacing w:before="140"/>
        <w:rPr>
          <w:b/>
        </w:rPr>
      </w:pPr>
    </w:p>
    <w:p w14:paraId="3D69784A" w14:textId="08B016C5" w:rsidR="00327589" w:rsidRPr="00327589" w:rsidRDefault="006558CF" w:rsidP="000E0168">
      <w:pPr>
        <w:pStyle w:val="ListParagraph"/>
        <w:numPr>
          <w:ilvl w:val="0"/>
          <w:numId w:val="48"/>
        </w:numPr>
      </w:pPr>
      <w:r>
        <w:t xml:space="preserve">The following medical equipment is required at non-registrable events: </w:t>
      </w:r>
    </w:p>
    <w:p w14:paraId="12387B63" w14:textId="77777777" w:rsidR="00327589" w:rsidRPr="00327589" w:rsidRDefault="00327589" w:rsidP="0040725B">
      <w:pPr>
        <w:pStyle w:val="ListParagraph"/>
        <w:numPr>
          <w:ilvl w:val="1"/>
          <w:numId w:val="48"/>
        </w:numPr>
      </w:pPr>
      <w:r w:rsidRPr="00327589">
        <w:t xml:space="preserve">basic doctor’s bag kits, including disposable gloves and gauze swabs </w:t>
      </w:r>
    </w:p>
    <w:p w14:paraId="1BE249E7" w14:textId="77777777" w:rsidR="00327589" w:rsidRPr="00327589" w:rsidRDefault="00327589" w:rsidP="0040725B">
      <w:pPr>
        <w:pStyle w:val="ListParagraph"/>
        <w:numPr>
          <w:ilvl w:val="1"/>
          <w:numId w:val="48"/>
        </w:numPr>
      </w:pPr>
      <w:r w:rsidRPr="00327589">
        <w:t xml:space="preserve">auriscope and opthalmoscope </w:t>
      </w:r>
    </w:p>
    <w:p w14:paraId="5339DA97" w14:textId="77777777" w:rsidR="00327589" w:rsidRPr="00327589" w:rsidRDefault="00327589" w:rsidP="0040725B">
      <w:pPr>
        <w:pStyle w:val="ListParagraph"/>
        <w:numPr>
          <w:ilvl w:val="1"/>
          <w:numId w:val="48"/>
        </w:numPr>
      </w:pPr>
      <w:r w:rsidRPr="00327589">
        <w:t xml:space="preserve">airway support equipment </w:t>
      </w:r>
    </w:p>
    <w:p w14:paraId="6D83AB1E" w14:textId="77777777" w:rsidR="00327589" w:rsidRPr="00327589" w:rsidRDefault="00327589" w:rsidP="0040725B">
      <w:pPr>
        <w:pStyle w:val="ListParagraph"/>
        <w:numPr>
          <w:ilvl w:val="1"/>
          <w:numId w:val="48"/>
        </w:numPr>
      </w:pPr>
      <w:r w:rsidRPr="00327589">
        <w:t xml:space="preserve">oxy-viva mask </w:t>
      </w:r>
    </w:p>
    <w:p w14:paraId="6F489D0D" w14:textId="77777777" w:rsidR="00327589" w:rsidRDefault="00327589" w:rsidP="0040725B">
      <w:pPr>
        <w:pStyle w:val="ListParagraph"/>
        <w:numPr>
          <w:ilvl w:val="1"/>
          <w:numId w:val="48"/>
        </w:numPr>
      </w:pPr>
      <w:r w:rsidRPr="00327589">
        <w:t>oxygen</w:t>
      </w:r>
    </w:p>
    <w:p w14:paraId="666646C6" w14:textId="7CB61782" w:rsidR="006558CF" w:rsidRPr="00327589" w:rsidRDefault="006558CF" w:rsidP="0040725B">
      <w:pPr>
        <w:pStyle w:val="ListParagraph"/>
        <w:numPr>
          <w:ilvl w:val="1"/>
          <w:numId w:val="48"/>
        </w:numPr>
      </w:pPr>
      <w:r>
        <w:t xml:space="preserve">defibrillator </w:t>
      </w:r>
    </w:p>
    <w:p w14:paraId="4FBDDF01" w14:textId="77777777" w:rsidR="00327589" w:rsidRPr="00327589" w:rsidRDefault="00327589" w:rsidP="00327589">
      <w:pPr>
        <w:pStyle w:val="ListParagraph"/>
        <w:ind w:left="1080"/>
      </w:pPr>
    </w:p>
    <w:p w14:paraId="47D7B179" w14:textId="77777777" w:rsidR="006558CF" w:rsidRDefault="006558CF" w:rsidP="006558CF">
      <w:pPr>
        <w:pStyle w:val="ListParagraph"/>
        <w:numPr>
          <w:ilvl w:val="0"/>
          <w:numId w:val="22"/>
        </w:numPr>
      </w:pPr>
      <w:r>
        <w:t>Two spinal boards</w:t>
      </w:r>
      <w:r w:rsidRPr="00FB4165">
        <w:t xml:space="preserve"> must be</w:t>
      </w:r>
      <w:r>
        <w:t xml:space="preserve"> supplied. At least one spinal board must be</w:t>
      </w:r>
      <w:r w:rsidRPr="00FB4165">
        <w:t xml:space="preserve"> located next to the contest area for the duration of each </w:t>
      </w:r>
      <w:r>
        <w:t xml:space="preserve">event. Where applicable, this should be located next to the ‘red corner’. </w:t>
      </w:r>
    </w:p>
    <w:p w14:paraId="5BB2E9F5" w14:textId="77777777" w:rsidR="00327589" w:rsidRPr="00327589" w:rsidRDefault="00327589" w:rsidP="00327589">
      <w:pPr>
        <w:pStyle w:val="ListParagraph"/>
      </w:pPr>
    </w:p>
    <w:p w14:paraId="79C630E5" w14:textId="222A5618" w:rsidR="00327589" w:rsidRPr="00327589" w:rsidRDefault="00327589" w:rsidP="0040725B">
      <w:pPr>
        <w:pStyle w:val="ListParagraph"/>
        <w:numPr>
          <w:ilvl w:val="0"/>
          <w:numId w:val="48"/>
        </w:numPr>
      </w:pPr>
      <w:r w:rsidRPr="00327589">
        <w:t xml:space="preserve">An adult person must be nominated </w:t>
      </w:r>
      <w:r w:rsidR="004841CC">
        <w:t xml:space="preserve">by the promoter </w:t>
      </w:r>
      <w:r w:rsidRPr="00327589">
        <w:t xml:space="preserve">to call emergency services if required. This person must remain next to the contest area during each contest in an event and during any medical emergency. The medical practitioner and the nominated person must agree on a clear, pre-determined means, whether by hand signal or other method, by which the medical practitioner will instruct the person to contact emergency services. The nominated person must know the name and street address of the venue, and be aware of the evacuation route for ambulance staff to remove an injured contestant from the venue. </w:t>
      </w:r>
    </w:p>
    <w:p w14:paraId="434EB9AD" w14:textId="77777777" w:rsidR="00327589" w:rsidRPr="00327589" w:rsidRDefault="00327589" w:rsidP="00327589">
      <w:pPr>
        <w:pStyle w:val="ListParagraph"/>
      </w:pPr>
    </w:p>
    <w:p w14:paraId="3E35FEAF" w14:textId="1C7C0619" w:rsidR="00327589" w:rsidRPr="00327589" w:rsidRDefault="00327589" w:rsidP="0040725B">
      <w:pPr>
        <w:pStyle w:val="ListParagraph"/>
        <w:numPr>
          <w:ilvl w:val="0"/>
          <w:numId w:val="48"/>
        </w:numPr>
      </w:pPr>
      <w:r w:rsidRPr="00327589">
        <w:t>A medical practitioner</w:t>
      </w:r>
      <w:r w:rsidR="001C45EC">
        <w:t>, paramedic or other authorised medical professional</w:t>
      </w:r>
      <w:r w:rsidRPr="00327589">
        <w:t xml:space="preserve"> must be in attendance for the whole of every contest. </w:t>
      </w:r>
    </w:p>
    <w:p w14:paraId="38785B70" w14:textId="77777777" w:rsidR="00327589" w:rsidRPr="00327589" w:rsidRDefault="00327589" w:rsidP="00327589">
      <w:pPr>
        <w:pStyle w:val="ListParagraph"/>
      </w:pPr>
    </w:p>
    <w:p w14:paraId="6FD92E25" w14:textId="1A1A70CE" w:rsidR="00327589" w:rsidRPr="00327589" w:rsidRDefault="00327589" w:rsidP="0040725B">
      <w:pPr>
        <w:pStyle w:val="ListParagraph"/>
        <w:numPr>
          <w:ilvl w:val="0"/>
          <w:numId w:val="48"/>
        </w:numPr>
      </w:pPr>
      <w:r w:rsidRPr="00327589">
        <w:t xml:space="preserve">A contest can only commence or continue when </w:t>
      </w:r>
      <w:r w:rsidR="001C45EC">
        <w:t>the medical professional mentioned in clause 1</w:t>
      </w:r>
      <w:r w:rsidR="004841CC">
        <w:t>3</w:t>
      </w:r>
      <w:r w:rsidRPr="00327589">
        <w:t xml:space="preserve"> is at contest side. To avoid further doubt, a specific contest within an event cannot commence or continue unless the medical pr</w:t>
      </w:r>
      <w:r w:rsidR="001C45EC">
        <w:t>ofessional</w:t>
      </w:r>
      <w:r w:rsidRPr="00327589">
        <w:t xml:space="preserve"> is present to monitor the safety and wellbeing of the competing contestants.</w:t>
      </w:r>
    </w:p>
    <w:p w14:paraId="79CC4024" w14:textId="77777777" w:rsidR="00327589" w:rsidRPr="00327589" w:rsidRDefault="00327589" w:rsidP="00327589">
      <w:pPr>
        <w:pStyle w:val="ListParagraph"/>
      </w:pPr>
    </w:p>
    <w:p w14:paraId="2BC5AB47" w14:textId="05C88034" w:rsidR="00327589" w:rsidRPr="00327589" w:rsidRDefault="00327589" w:rsidP="0040725B">
      <w:pPr>
        <w:pStyle w:val="ListParagraph"/>
        <w:numPr>
          <w:ilvl w:val="0"/>
          <w:numId w:val="48"/>
        </w:numPr>
      </w:pPr>
      <w:r w:rsidRPr="00327589">
        <w:t>Before the event commences, the medical pr</w:t>
      </w:r>
      <w:r w:rsidR="001C45EC">
        <w:t>ofessional mentioned in clause 1</w:t>
      </w:r>
      <w:r w:rsidR="004841CC">
        <w:t>3</w:t>
      </w:r>
      <w:r w:rsidR="001C45EC">
        <w:t xml:space="preserve"> </w:t>
      </w:r>
      <w:r w:rsidRPr="00327589">
        <w:t>and referee must agree on a clear, pre-determined means, whether by bell, hammer, air horn, or prescribed hand signal or another method, by which the medical pr</w:t>
      </w:r>
      <w:r w:rsidR="001C45EC">
        <w:t xml:space="preserve">ofessional </w:t>
      </w:r>
      <w:r w:rsidRPr="00327589">
        <w:t xml:space="preserve">can: </w:t>
      </w:r>
    </w:p>
    <w:p w14:paraId="5948828E" w14:textId="77777777" w:rsidR="00327589" w:rsidRPr="00327589" w:rsidRDefault="00327589" w:rsidP="00327589">
      <w:pPr>
        <w:pStyle w:val="ListParagraph"/>
      </w:pPr>
    </w:p>
    <w:p w14:paraId="4DC57187" w14:textId="77777777" w:rsidR="00327589" w:rsidRPr="00327589" w:rsidRDefault="00327589" w:rsidP="0040725B">
      <w:pPr>
        <w:pStyle w:val="ListParagraph"/>
        <w:numPr>
          <w:ilvl w:val="1"/>
          <w:numId w:val="48"/>
        </w:numPr>
      </w:pPr>
      <w:r w:rsidRPr="00327589">
        <w:lastRenderedPageBreak/>
        <w:t xml:space="preserve">Indicate the need for or desirability of a medical examination of a contestant during the contest; or </w:t>
      </w:r>
    </w:p>
    <w:p w14:paraId="2AA1301F" w14:textId="77777777" w:rsidR="00327589" w:rsidRPr="00327589" w:rsidRDefault="00327589" w:rsidP="0040725B">
      <w:pPr>
        <w:pStyle w:val="ListParagraph"/>
        <w:numPr>
          <w:ilvl w:val="1"/>
          <w:numId w:val="48"/>
        </w:numPr>
      </w:pPr>
      <w:r w:rsidRPr="00327589">
        <w:t xml:space="preserve">Stop the contest. </w:t>
      </w:r>
      <w:r w:rsidRPr="00327589">
        <w:br/>
      </w:r>
    </w:p>
    <w:p w14:paraId="04BFD435" w14:textId="6C216499" w:rsidR="00327589" w:rsidRPr="00327589" w:rsidRDefault="00327589" w:rsidP="0040725B">
      <w:pPr>
        <w:pStyle w:val="ListParagraph"/>
        <w:numPr>
          <w:ilvl w:val="0"/>
          <w:numId w:val="48"/>
        </w:numPr>
      </w:pPr>
      <w:r w:rsidRPr="00327589">
        <w:t>The referee must confer with the medical p</w:t>
      </w:r>
      <w:r w:rsidR="001C45EC">
        <w:t>rofessional mentioned in clause 1</w:t>
      </w:r>
      <w:r w:rsidR="004841CC">
        <w:t>3</w:t>
      </w:r>
      <w:r w:rsidRPr="00327589">
        <w:t xml:space="preserve"> about the need for a medical examination following any round in which a contestant receives a significant number of heavy blows to the head or appears to be suffering from signs or symptoms consistent with concussion or other head injury. </w:t>
      </w:r>
    </w:p>
    <w:p w14:paraId="4E3C988B" w14:textId="77777777" w:rsidR="00327589" w:rsidRPr="00327589" w:rsidRDefault="00327589" w:rsidP="00327589">
      <w:pPr>
        <w:pStyle w:val="ListParagraph"/>
        <w:spacing w:before="140"/>
      </w:pPr>
    </w:p>
    <w:p w14:paraId="636B337E" w14:textId="0C97B48C" w:rsidR="00C561DD" w:rsidRDefault="00327589" w:rsidP="00C561DD">
      <w:pPr>
        <w:pStyle w:val="ListParagraph"/>
        <w:numPr>
          <w:ilvl w:val="0"/>
          <w:numId w:val="48"/>
        </w:numPr>
      </w:pPr>
      <w:r w:rsidRPr="00327589">
        <w:t>All medical pr</w:t>
      </w:r>
      <w:r w:rsidR="001C45EC">
        <w:t>ofessionals (per clause 1</w:t>
      </w:r>
      <w:r w:rsidR="004841CC">
        <w:t>3</w:t>
      </w:r>
      <w:r w:rsidR="001C45EC">
        <w:t>)</w:t>
      </w:r>
      <w:r w:rsidRPr="00327589">
        <w:t xml:space="preserve"> must be provided with unrestricted access to carry out all duties specified in the legislation. </w:t>
      </w:r>
      <w:r w:rsidRPr="00327589">
        <w:br/>
      </w:r>
    </w:p>
    <w:p w14:paraId="4915C674" w14:textId="3D43515D" w:rsidR="00C561DD" w:rsidRDefault="00C561DD" w:rsidP="00C561DD">
      <w:pPr>
        <w:pStyle w:val="ListParagraph"/>
        <w:numPr>
          <w:ilvl w:val="0"/>
          <w:numId w:val="48"/>
        </w:numPr>
      </w:pPr>
      <w:r>
        <w:t>Contestants are not permitted to compete for five clear days in any jurisdiction (including internationally) aft</w:t>
      </w:r>
      <w:r w:rsidR="001C45EC">
        <w:t xml:space="preserve">er each event </w:t>
      </w:r>
      <w:r>
        <w:t xml:space="preserve">regardless of the outcome. </w:t>
      </w:r>
    </w:p>
    <w:p w14:paraId="0A751791" w14:textId="77777777" w:rsidR="00C561DD" w:rsidRDefault="00C561DD" w:rsidP="00C561DD">
      <w:pPr>
        <w:pStyle w:val="ListParagraph"/>
      </w:pPr>
    </w:p>
    <w:p w14:paraId="32117ACF" w14:textId="77777777" w:rsidR="003B17F7" w:rsidRDefault="003B17F7" w:rsidP="003B17F7">
      <w:pPr>
        <w:pStyle w:val="ListParagraph"/>
      </w:pPr>
    </w:p>
    <w:p w14:paraId="03BF313A" w14:textId="77777777" w:rsidR="003B17F7" w:rsidRPr="00445E17" w:rsidRDefault="003B17F7" w:rsidP="003B17F7">
      <w:pPr>
        <w:shd w:val="clear" w:color="auto" w:fill="DBE5F1" w:themeFill="accent1" w:themeFillTint="33"/>
        <w:rPr>
          <w:b/>
        </w:rPr>
      </w:pPr>
      <w:r w:rsidRPr="00445E17">
        <w:rPr>
          <w:b/>
        </w:rPr>
        <w:t xml:space="preserve">Protective Clothing </w:t>
      </w:r>
      <w:r>
        <w:rPr>
          <w:b/>
        </w:rPr>
        <w:t>and Equipment</w:t>
      </w:r>
    </w:p>
    <w:p w14:paraId="58D03704" w14:textId="765B149E" w:rsidR="003B17F7" w:rsidRDefault="003B17F7" w:rsidP="0040725B">
      <w:pPr>
        <w:pStyle w:val="ListParagraph"/>
        <w:numPr>
          <w:ilvl w:val="0"/>
          <w:numId w:val="48"/>
        </w:numPr>
      </w:pPr>
      <w:r w:rsidRPr="001C3F93">
        <w:t xml:space="preserve">Clothing, headgear, gloves, footwear, groin protectors, chest protectors, bandaging, other safety apparel and all other equipment must be used as specified in the rules </w:t>
      </w:r>
      <w:r>
        <w:t xml:space="preserve">of the Authorised Controlled Sports Body approving the event. This includes rules recognised by the Authorised Controlled Sports Body. </w:t>
      </w:r>
    </w:p>
    <w:p w14:paraId="4969AE93" w14:textId="77777777" w:rsidR="003B17F7" w:rsidRDefault="003B17F7" w:rsidP="003B17F7">
      <w:pPr>
        <w:pStyle w:val="ListParagraph"/>
      </w:pPr>
    </w:p>
    <w:p w14:paraId="1F32DBB9" w14:textId="7D241874" w:rsidR="003B17F7" w:rsidRPr="003B17F7" w:rsidRDefault="003B17F7" w:rsidP="003B17F7">
      <w:pPr>
        <w:pStyle w:val="ListParagraph"/>
        <w:rPr>
          <w:i/>
          <w:sz w:val="22"/>
        </w:rPr>
      </w:pPr>
      <w:r w:rsidRPr="003B17F7">
        <w:rPr>
          <w:i/>
          <w:sz w:val="22"/>
        </w:rPr>
        <w:t xml:space="preserve">Example: International or national rules adopted by the Authorised Controlled Sports Body. </w:t>
      </w:r>
    </w:p>
    <w:p w14:paraId="46DB7017" w14:textId="77777777" w:rsidR="003B17F7" w:rsidRDefault="003B17F7" w:rsidP="003B17F7">
      <w:pPr>
        <w:pStyle w:val="ListParagraph"/>
      </w:pPr>
    </w:p>
    <w:p w14:paraId="6B6801D0" w14:textId="6226E008" w:rsidR="003B17F7" w:rsidRDefault="003B17F7" w:rsidP="0040725B">
      <w:pPr>
        <w:pStyle w:val="ListParagraph"/>
        <w:numPr>
          <w:ilvl w:val="0"/>
          <w:numId w:val="48"/>
        </w:numPr>
      </w:pPr>
      <w:r w:rsidRPr="005B5A5A">
        <w:t xml:space="preserve">Notwithstanding </w:t>
      </w:r>
      <w:r w:rsidR="001C45EC">
        <w:t>clause</w:t>
      </w:r>
      <w:r w:rsidRPr="005B5A5A">
        <w:t xml:space="preserve"> </w:t>
      </w:r>
      <w:r w:rsidR="004841CC">
        <w:t>19</w:t>
      </w:r>
      <w:r w:rsidRPr="005B5A5A">
        <w:t>, mouthguards must be worn by all co</w:t>
      </w:r>
      <w:r>
        <w:t>ntestants</w:t>
      </w:r>
      <w:r w:rsidRPr="005B5A5A">
        <w:t xml:space="preserve">. </w:t>
      </w:r>
    </w:p>
    <w:p w14:paraId="101A7224" w14:textId="77777777" w:rsidR="003B17F7" w:rsidRDefault="003B17F7" w:rsidP="003B17F7">
      <w:pPr>
        <w:pStyle w:val="ListParagraph"/>
      </w:pPr>
    </w:p>
    <w:p w14:paraId="61998001" w14:textId="77777777" w:rsidR="003B17F7" w:rsidRDefault="003B17F7" w:rsidP="0040725B">
      <w:pPr>
        <w:pStyle w:val="ListParagraph"/>
        <w:numPr>
          <w:ilvl w:val="0"/>
          <w:numId w:val="48"/>
        </w:numPr>
      </w:pPr>
      <w:r>
        <w:t xml:space="preserve">The use of steel groin protectors is prohibited. </w:t>
      </w:r>
    </w:p>
    <w:p w14:paraId="7F13117A" w14:textId="77777777" w:rsidR="003B17F7" w:rsidRDefault="003B17F7" w:rsidP="005D393C"/>
    <w:p w14:paraId="19926C16" w14:textId="77777777" w:rsidR="003B17F7" w:rsidRDefault="003B17F7" w:rsidP="0040725B">
      <w:pPr>
        <w:pStyle w:val="ListParagraph"/>
        <w:numPr>
          <w:ilvl w:val="0"/>
          <w:numId w:val="48"/>
        </w:numPr>
      </w:pPr>
      <w:r>
        <w:t xml:space="preserve">The use of gloves containing horse hair are prohibited. </w:t>
      </w:r>
    </w:p>
    <w:p w14:paraId="347C9E63" w14:textId="77777777" w:rsidR="00327589" w:rsidRDefault="00327589" w:rsidP="005D393C"/>
    <w:p w14:paraId="1335E82B" w14:textId="086D834D" w:rsidR="004841CC" w:rsidRDefault="004841CC">
      <w:r>
        <w:br w:type="page"/>
      </w:r>
    </w:p>
    <w:p w14:paraId="6C52E621" w14:textId="77777777" w:rsidR="001C3F93" w:rsidRDefault="001C3F93" w:rsidP="00713E8A"/>
    <w:p w14:paraId="16186A8D" w14:textId="77777777" w:rsidR="00DE1FE0" w:rsidRPr="00B269BC" w:rsidRDefault="00DE1FE0" w:rsidP="00DE1FE0">
      <w:pPr>
        <w:ind w:left="720"/>
        <w:rPr>
          <w:u w:val="single"/>
        </w:rPr>
      </w:pPr>
      <w:r>
        <w:rPr>
          <w:u w:val="single"/>
        </w:rPr>
        <w:t>Dictionary</w:t>
      </w:r>
      <w:r w:rsidRPr="00B269BC">
        <w:rPr>
          <w:u w:val="single"/>
        </w:rPr>
        <w:t xml:space="preserve">: </w:t>
      </w:r>
    </w:p>
    <w:p w14:paraId="6463BFD3" w14:textId="3681E985" w:rsidR="009A3636" w:rsidRDefault="00DE1FE0" w:rsidP="00DE1FE0">
      <w:r>
        <w:tab/>
      </w:r>
      <w:r>
        <w:tab/>
      </w:r>
      <w:r w:rsidR="009A3636" w:rsidRPr="009A3636">
        <w:rPr>
          <w:b/>
          <w:i/>
        </w:rPr>
        <w:t>Act</w:t>
      </w:r>
      <w:r w:rsidR="009A3636">
        <w:rPr>
          <w:b/>
          <w:i/>
        </w:rPr>
        <w:t xml:space="preserve"> (the)</w:t>
      </w:r>
      <w:r w:rsidR="009A3636">
        <w:t xml:space="preserve"> – The </w:t>
      </w:r>
      <w:r w:rsidR="009A3636" w:rsidRPr="009A3636">
        <w:rPr>
          <w:i/>
        </w:rPr>
        <w:t>Controlled Sports Act 2019</w:t>
      </w:r>
      <w:r w:rsidR="009A3636">
        <w:t xml:space="preserve"> (ACT)</w:t>
      </w:r>
    </w:p>
    <w:p w14:paraId="10B52589" w14:textId="77777777" w:rsidR="009A3636" w:rsidRDefault="009A3636" w:rsidP="00DE1FE0"/>
    <w:p w14:paraId="41BC6E27" w14:textId="31C65D8B" w:rsidR="00B269BC" w:rsidRDefault="00DE1FE0" w:rsidP="009A3636">
      <w:pPr>
        <w:ind w:left="720" w:firstLine="720"/>
      </w:pPr>
      <w:r w:rsidRPr="00735D0B">
        <w:rPr>
          <w:b/>
          <w:i/>
        </w:rPr>
        <w:t>ACT Government authority</w:t>
      </w:r>
      <w:r w:rsidRPr="00735D0B">
        <w:t xml:space="preserve"> means t</w:t>
      </w:r>
      <w:r w:rsidR="009A3636" w:rsidRPr="00735D0B">
        <w:t xml:space="preserve">he ACT government directorate </w:t>
      </w:r>
      <w:r w:rsidR="009A3636" w:rsidRPr="00735D0B">
        <w:tab/>
      </w:r>
      <w:r w:rsidR="00735D0B" w:rsidRPr="00735D0B">
        <w:t>responsible for controlled sports or working with vulnerable children</w:t>
      </w:r>
      <w:r w:rsidRPr="00735D0B">
        <w:t>.</w:t>
      </w:r>
      <w:r w:rsidRPr="00DE1FE0">
        <w:t xml:space="preserve"> </w:t>
      </w:r>
    </w:p>
    <w:p w14:paraId="412171B8" w14:textId="77777777" w:rsidR="00172BAA" w:rsidRDefault="00172BAA" w:rsidP="00DE1FE0"/>
    <w:p w14:paraId="21FF6CFF" w14:textId="74454A12" w:rsidR="00735D0B" w:rsidRDefault="00735D0B" w:rsidP="00F76E1D">
      <w:pPr>
        <w:ind w:left="1440"/>
      </w:pPr>
      <w:r>
        <w:rPr>
          <w:b/>
          <w:i/>
        </w:rPr>
        <w:t xml:space="preserve">ACT Registrar for Controlled Sports </w:t>
      </w:r>
      <w:r>
        <w:t xml:space="preserve">– means the position in the ACT public service responsible for controlled sports. </w:t>
      </w:r>
    </w:p>
    <w:p w14:paraId="3D39FA54" w14:textId="77777777" w:rsidR="00735D0B" w:rsidRPr="00735D0B" w:rsidRDefault="00735D0B" w:rsidP="00F76E1D">
      <w:pPr>
        <w:ind w:left="1440"/>
      </w:pPr>
    </w:p>
    <w:p w14:paraId="2C013065" w14:textId="77777777" w:rsidR="00B82436" w:rsidRDefault="00B82436" w:rsidP="00F76E1D">
      <w:pPr>
        <w:ind w:left="1440"/>
      </w:pPr>
      <w:r w:rsidRPr="00131AF3">
        <w:rPr>
          <w:b/>
          <w:i/>
        </w:rPr>
        <w:t>Concussion</w:t>
      </w:r>
      <w:r>
        <w:rPr>
          <w:b/>
          <w:i/>
        </w:rPr>
        <w:t xml:space="preserve"> </w:t>
      </w:r>
      <w:r>
        <w:t xml:space="preserve">means a subset of mild traumatic brain injury induced by biomechanical forces (as outlined in the </w:t>
      </w:r>
      <w:r w:rsidRPr="00B82436">
        <w:rPr>
          <w:i/>
        </w:rPr>
        <w:t>Consensus statement on concussion in sport – the 5th international conference on concussion in sport held in Berlin, October 2016</w:t>
      </w:r>
      <w:r>
        <w:t>).</w:t>
      </w:r>
    </w:p>
    <w:p w14:paraId="776C86C7" w14:textId="44AA6749" w:rsidR="00B82436" w:rsidRPr="00B82436" w:rsidRDefault="00B82436" w:rsidP="00F76E1D">
      <w:pPr>
        <w:ind w:left="1440"/>
      </w:pPr>
      <w:r>
        <w:t xml:space="preserve"> </w:t>
      </w:r>
    </w:p>
    <w:p w14:paraId="3B148200" w14:textId="59FC00EE" w:rsidR="00172BAA" w:rsidRDefault="00172BAA" w:rsidP="00F76E1D">
      <w:pPr>
        <w:ind w:left="1440"/>
      </w:pPr>
      <w:r w:rsidRPr="00172BAA">
        <w:rPr>
          <w:b/>
          <w:i/>
        </w:rPr>
        <w:t xml:space="preserve">Draw </w:t>
      </w:r>
      <w:r w:rsidRPr="00172BAA">
        <w:t xml:space="preserve">means </w:t>
      </w:r>
      <w:r w:rsidR="00F76E1D">
        <w:t xml:space="preserve">the selection of contestants to compete in a controlled sports event. This includes fight cards.  </w:t>
      </w:r>
    </w:p>
    <w:p w14:paraId="09D2E0B2" w14:textId="77777777" w:rsidR="00131AF3" w:rsidRDefault="00131AF3" w:rsidP="00F76E1D">
      <w:pPr>
        <w:ind w:left="1440"/>
      </w:pPr>
    </w:p>
    <w:p w14:paraId="7A02C203" w14:textId="32250AD7" w:rsidR="00131AF3" w:rsidRDefault="00131AF3" w:rsidP="00F76E1D">
      <w:pPr>
        <w:ind w:left="1440"/>
      </w:pPr>
      <w:r w:rsidRPr="00131AF3">
        <w:rPr>
          <w:b/>
          <w:i/>
        </w:rPr>
        <w:t>Non-registrable event</w:t>
      </w:r>
      <w:r>
        <w:t xml:space="preserve"> – see </w:t>
      </w:r>
      <w:r w:rsidRPr="00131AF3">
        <w:rPr>
          <w:i/>
        </w:rPr>
        <w:t>Controlled Sports Act 2019</w:t>
      </w:r>
      <w:r>
        <w:t xml:space="preserve"> Section 61. </w:t>
      </w:r>
    </w:p>
    <w:p w14:paraId="4361F989" w14:textId="77777777" w:rsidR="00B05E33" w:rsidRDefault="00B05E33" w:rsidP="00F76E1D">
      <w:pPr>
        <w:ind w:left="1440"/>
        <w:rPr>
          <w:i/>
        </w:rPr>
      </w:pPr>
    </w:p>
    <w:p w14:paraId="5BA887EF" w14:textId="7C7A6D1C" w:rsidR="008F4D00" w:rsidRDefault="008F4D00" w:rsidP="00F76E1D">
      <w:pPr>
        <w:ind w:left="1440"/>
      </w:pPr>
      <w:r>
        <w:rPr>
          <w:b/>
          <w:i/>
        </w:rPr>
        <w:t xml:space="preserve">Plinth Table </w:t>
      </w:r>
      <w:r>
        <w:t xml:space="preserve">means a padded table for a patient to sit or lie on whilst receiving treatment or being examined.  </w:t>
      </w:r>
    </w:p>
    <w:p w14:paraId="7D94547A" w14:textId="77777777" w:rsidR="00131AF3" w:rsidRDefault="00131AF3" w:rsidP="00F76E1D">
      <w:pPr>
        <w:ind w:left="1440"/>
      </w:pPr>
    </w:p>
    <w:p w14:paraId="3E79D13E" w14:textId="521D9958" w:rsidR="00131AF3" w:rsidRPr="008F4D00" w:rsidRDefault="00131AF3" w:rsidP="00F76E1D">
      <w:pPr>
        <w:ind w:left="1440"/>
      </w:pPr>
      <w:r w:rsidRPr="00131AF3">
        <w:rPr>
          <w:b/>
          <w:i/>
        </w:rPr>
        <w:t>Registrable event</w:t>
      </w:r>
      <w:r>
        <w:t xml:space="preserve"> – see </w:t>
      </w:r>
      <w:r w:rsidRPr="00131AF3">
        <w:rPr>
          <w:i/>
        </w:rPr>
        <w:t>Controlled Sports Act 2019</w:t>
      </w:r>
      <w:r>
        <w:t xml:space="preserve"> Section 10. </w:t>
      </w:r>
    </w:p>
    <w:p w14:paraId="6B73D5E1" w14:textId="77777777" w:rsidR="008F4D00" w:rsidRDefault="008F4D00" w:rsidP="00F76E1D">
      <w:pPr>
        <w:ind w:left="1440"/>
        <w:rPr>
          <w:b/>
          <w:i/>
        </w:rPr>
      </w:pPr>
    </w:p>
    <w:p w14:paraId="20AECBF9" w14:textId="58493821" w:rsidR="00B05E33" w:rsidRPr="00B05E33" w:rsidRDefault="00B05E33" w:rsidP="00F76E1D">
      <w:pPr>
        <w:ind w:left="1440"/>
      </w:pPr>
      <w:r w:rsidRPr="00B05E33">
        <w:rPr>
          <w:b/>
          <w:i/>
        </w:rPr>
        <w:t>Subsequent [losses by Knockout or Technical Knockout]</w:t>
      </w:r>
      <w:r w:rsidR="00595E4D">
        <w:rPr>
          <w:b/>
          <w:i/>
        </w:rPr>
        <w:t xml:space="preserve"> or concussion</w:t>
      </w:r>
      <w:r>
        <w:rPr>
          <w:i/>
        </w:rPr>
        <w:t xml:space="preserve"> - ‘</w:t>
      </w:r>
      <w:r>
        <w:t xml:space="preserve">subsequent’ in this context applies to the loss occurring within 12 months of any preceding Knockout, Technical Knockout or concussion. </w:t>
      </w:r>
    </w:p>
    <w:p w14:paraId="74DA9A38" w14:textId="5414D63C" w:rsidR="00D3497E" w:rsidRDefault="00D3497E" w:rsidP="008948E1"/>
    <w:p w14:paraId="015B3E33" w14:textId="59537503" w:rsidR="00D3497E" w:rsidRDefault="005B5A5A" w:rsidP="00D3497E">
      <w:r>
        <w:rPr>
          <w:b/>
          <w:i/>
        </w:rPr>
        <w:tab/>
      </w:r>
      <w:r>
        <w:rPr>
          <w:b/>
          <w:i/>
        </w:rPr>
        <w:tab/>
        <w:t>V</w:t>
      </w:r>
      <w:r w:rsidR="00D3497E" w:rsidRPr="001E59C2">
        <w:rPr>
          <w:b/>
          <w:i/>
        </w:rPr>
        <w:t xml:space="preserve">ulnerable </w:t>
      </w:r>
      <w:r w:rsidR="00D3497E">
        <w:rPr>
          <w:b/>
          <w:i/>
        </w:rPr>
        <w:t>p</w:t>
      </w:r>
      <w:r w:rsidR="00D3497E" w:rsidRPr="001E59C2">
        <w:rPr>
          <w:b/>
          <w:i/>
        </w:rPr>
        <w:t>erson</w:t>
      </w:r>
      <w:r w:rsidR="00D3497E">
        <w:t xml:space="preserve">—see </w:t>
      </w:r>
      <w:r w:rsidR="00D3497E" w:rsidRPr="00DE1FE0">
        <w:t xml:space="preserve">the </w:t>
      </w:r>
      <w:r w:rsidR="00D3497E" w:rsidRPr="00DE1FE0">
        <w:rPr>
          <w:i/>
        </w:rPr>
        <w:t xml:space="preserve">Working with Vulnerable People </w:t>
      </w:r>
      <w:r w:rsidR="00D3497E">
        <w:rPr>
          <w:i/>
        </w:rPr>
        <w:tab/>
      </w:r>
      <w:r w:rsidR="00D3497E">
        <w:rPr>
          <w:i/>
        </w:rPr>
        <w:tab/>
      </w:r>
      <w:r w:rsidR="00D3497E">
        <w:rPr>
          <w:i/>
        </w:rPr>
        <w:tab/>
        <w:t xml:space="preserve">(Background Checking) Act 2011, </w:t>
      </w:r>
      <w:r w:rsidR="00D3497E" w:rsidRPr="00DE1FE0">
        <w:t>s</w:t>
      </w:r>
      <w:r w:rsidR="00D3497E">
        <w:t>ection 7</w:t>
      </w:r>
      <w:r w:rsidR="00D3497E" w:rsidRPr="00DE1FE0">
        <w:t xml:space="preserve">.  </w:t>
      </w:r>
    </w:p>
    <w:p w14:paraId="03A7A514" w14:textId="77777777" w:rsidR="008948E1" w:rsidRPr="00DE1FE0" w:rsidRDefault="008948E1" w:rsidP="00D3497E"/>
    <w:p w14:paraId="246DD4B7" w14:textId="77777777" w:rsidR="00D3497E" w:rsidRPr="00DE1FE0" w:rsidRDefault="00D3497E" w:rsidP="00D3497E"/>
    <w:p w14:paraId="45B46163" w14:textId="77777777" w:rsidR="00A30BE2" w:rsidRDefault="00A30BE2" w:rsidP="00B269BC">
      <w:pPr>
        <w:spacing w:before="300"/>
        <w:rPr>
          <w:rFonts w:ascii="Arial" w:hAnsi="Arial" w:cs="Arial"/>
          <w:b/>
          <w:bCs/>
        </w:rPr>
      </w:pPr>
    </w:p>
    <w:bookmarkEnd w:id="0"/>
    <w:p w14:paraId="1993644A" w14:textId="77777777" w:rsidR="00BA0CE3" w:rsidRDefault="00BA0CE3" w:rsidP="00232478">
      <w:pPr>
        <w:tabs>
          <w:tab w:val="left" w:pos="4320"/>
        </w:tabs>
      </w:pPr>
    </w:p>
    <w:sectPr w:rsidR="00BA0CE3" w:rsidSect="00F15AC3">
      <w:footerReference w:type="default" r:id="rId8"/>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21CF0" w14:textId="77777777" w:rsidR="00403B45" w:rsidRDefault="00403B45" w:rsidP="00F10CB2">
      <w:r>
        <w:separator/>
      </w:r>
    </w:p>
  </w:endnote>
  <w:endnote w:type="continuationSeparator" w:id="0">
    <w:p w14:paraId="1496B7A4" w14:textId="77777777" w:rsidR="00403B45" w:rsidRDefault="00403B45"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468831"/>
      <w:docPartObj>
        <w:docPartGallery w:val="Page Numbers (Bottom of Page)"/>
        <w:docPartUnique/>
      </w:docPartObj>
    </w:sdtPr>
    <w:sdtEndPr>
      <w:rPr>
        <w:noProof/>
      </w:rPr>
    </w:sdtEndPr>
    <w:sdtContent>
      <w:p w14:paraId="3096701F" w14:textId="4D480A52" w:rsidR="00403B45" w:rsidRDefault="00403B45">
        <w:pPr>
          <w:pStyle w:val="Footer"/>
          <w:jc w:val="right"/>
        </w:pPr>
        <w:r>
          <w:fldChar w:fldCharType="begin"/>
        </w:r>
        <w:r>
          <w:instrText xml:space="preserve"> PAGE   \* MERGEFORMAT </w:instrText>
        </w:r>
        <w:r>
          <w:fldChar w:fldCharType="separate"/>
        </w:r>
        <w:r w:rsidR="00EB30DB">
          <w:rPr>
            <w:noProof/>
          </w:rPr>
          <w:t>17</w:t>
        </w:r>
        <w:r>
          <w:rPr>
            <w:noProof/>
          </w:rPr>
          <w:fldChar w:fldCharType="end"/>
        </w:r>
      </w:p>
    </w:sdtContent>
  </w:sdt>
  <w:p w14:paraId="7A7B366C" w14:textId="77777777" w:rsidR="00403B45" w:rsidRDefault="00403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E3849" w14:textId="77777777" w:rsidR="00403B45" w:rsidRDefault="00403B45" w:rsidP="00F10CB2">
      <w:r>
        <w:separator/>
      </w:r>
    </w:p>
  </w:footnote>
  <w:footnote w:type="continuationSeparator" w:id="0">
    <w:p w14:paraId="3DBB507F" w14:textId="77777777" w:rsidR="00403B45" w:rsidRDefault="00403B45" w:rsidP="00F10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1472FE"/>
    <w:multiLevelType w:val="hybridMultilevel"/>
    <w:tmpl w:val="A68A7BDA"/>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FD671D"/>
    <w:multiLevelType w:val="hybridMultilevel"/>
    <w:tmpl w:val="B622E2BA"/>
    <w:lvl w:ilvl="0" w:tplc="A0CE6C88">
      <w:start w:val="1"/>
      <w:numFmt w:val="decimal"/>
      <w:lvlText w:val="(%1)"/>
      <w:lvlJc w:val="left"/>
      <w:pPr>
        <w:ind w:left="720" w:hanging="720"/>
      </w:pPr>
      <w:rPr>
        <w:rFonts w:hint="default"/>
        <w:i w:val="0"/>
      </w:rPr>
    </w:lvl>
    <w:lvl w:ilvl="1" w:tplc="CCFEAB6C">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5"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6" w15:restartNumberingAfterBreak="0">
    <w:nsid w:val="0BAB4F4E"/>
    <w:multiLevelType w:val="hybridMultilevel"/>
    <w:tmpl w:val="44BE8C7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0F8D357E"/>
    <w:multiLevelType w:val="hybridMultilevel"/>
    <w:tmpl w:val="B8120AFC"/>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395642F"/>
    <w:multiLevelType w:val="hybridMultilevel"/>
    <w:tmpl w:val="EB7C9A80"/>
    <w:lvl w:ilvl="0" w:tplc="685020E8">
      <w:start w:val="1"/>
      <w:numFmt w:val="decimal"/>
      <w:lvlText w:val="(%1)"/>
      <w:lvlJc w:val="left"/>
      <w:pPr>
        <w:ind w:left="720" w:hanging="720"/>
      </w:pPr>
      <w:rPr>
        <w:rFonts w:hint="default"/>
      </w:rPr>
    </w:lvl>
    <w:lvl w:ilvl="1" w:tplc="CCFEAB6C">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5FF077D"/>
    <w:multiLevelType w:val="hybridMultilevel"/>
    <w:tmpl w:val="E9E47DB0"/>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44452F"/>
    <w:multiLevelType w:val="hybridMultilevel"/>
    <w:tmpl w:val="B8120AFC"/>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D43EDF"/>
    <w:multiLevelType w:val="hybridMultilevel"/>
    <w:tmpl w:val="5F0E1D5A"/>
    <w:lvl w:ilvl="0" w:tplc="0C09001B">
      <w:start w:val="1"/>
      <w:numFmt w:val="lowerRoman"/>
      <w:lvlText w:val="%1."/>
      <w:lvlJc w:val="right"/>
      <w:pPr>
        <w:ind w:left="180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C534A5"/>
    <w:multiLevelType w:val="hybridMultilevel"/>
    <w:tmpl w:val="1D98B6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DF1068"/>
    <w:multiLevelType w:val="hybridMultilevel"/>
    <w:tmpl w:val="27B220EC"/>
    <w:lvl w:ilvl="0" w:tplc="477E314E">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 w15:restartNumberingAfterBreak="0">
    <w:nsid w:val="26EE3FD5"/>
    <w:multiLevelType w:val="hybridMultilevel"/>
    <w:tmpl w:val="5F0E1D5A"/>
    <w:lvl w:ilvl="0" w:tplc="0C09001B">
      <w:start w:val="1"/>
      <w:numFmt w:val="lowerRoman"/>
      <w:lvlText w:val="%1."/>
      <w:lvlJc w:val="right"/>
      <w:pPr>
        <w:ind w:left="180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034629"/>
    <w:multiLevelType w:val="hybridMultilevel"/>
    <w:tmpl w:val="B8120AFC"/>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83D53A4"/>
    <w:multiLevelType w:val="hybridMultilevel"/>
    <w:tmpl w:val="6EF065B6"/>
    <w:lvl w:ilvl="0" w:tplc="CCFEAB6C">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8753949"/>
    <w:multiLevelType w:val="hybridMultilevel"/>
    <w:tmpl w:val="3D843B72"/>
    <w:lvl w:ilvl="0" w:tplc="D0747BCE">
      <w:start w:val="1"/>
      <w:numFmt w:val="decimal"/>
      <w:lvlText w:val="(%1)"/>
      <w:lvlJc w:val="left"/>
      <w:pPr>
        <w:ind w:left="360" w:hanging="360"/>
      </w:pPr>
      <w:rPr>
        <w:rFonts w:hint="default"/>
        <w:b w:val="0"/>
      </w:rPr>
    </w:lvl>
    <w:lvl w:ilvl="1" w:tplc="CCFEAB6C">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AAB12C0"/>
    <w:multiLevelType w:val="hybridMultilevel"/>
    <w:tmpl w:val="431E3DD8"/>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B603377"/>
    <w:multiLevelType w:val="hybridMultilevel"/>
    <w:tmpl w:val="3DFA2908"/>
    <w:lvl w:ilvl="0" w:tplc="100A90BA">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14B52B2"/>
    <w:multiLevelType w:val="hybridMultilevel"/>
    <w:tmpl w:val="2EB8C694"/>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3"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24" w15:restartNumberingAfterBreak="0">
    <w:nsid w:val="34932F50"/>
    <w:multiLevelType w:val="hybridMultilevel"/>
    <w:tmpl w:val="B8120AFC"/>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5B106E4"/>
    <w:multiLevelType w:val="hybridMultilevel"/>
    <w:tmpl w:val="11C04266"/>
    <w:lvl w:ilvl="0" w:tplc="685020E8">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2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28" w15:restartNumberingAfterBreak="0">
    <w:nsid w:val="37417414"/>
    <w:multiLevelType w:val="hybridMultilevel"/>
    <w:tmpl w:val="0B8C4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7E05906"/>
    <w:multiLevelType w:val="hybridMultilevel"/>
    <w:tmpl w:val="12246762"/>
    <w:lvl w:ilvl="0" w:tplc="685020E8">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A8E11B5"/>
    <w:multiLevelType w:val="hybridMultilevel"/>
    <w:tmpl w:val="2EB8C694"/>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C1360E6"/>
    <w:multiLevelType w:val="hybridMultilevel"/>
    <w:tmpl w:val="5D34E64C"/>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CD33CFE"/>
    <w:multiLevelType w:val="hybridMultilevel"/>
    <w:tmpl w:val="2EB8C694"/>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4AD6DD3"/>
    <w:multiLevelType w:val="hybridMultilevel"/>
    <w:tmpl w:val="5D34E64C"/>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D6C73F4"/>
    <w:multiLevelType w:val="hybridMultilevel"/>
    <w:tmpl w:val="9318A7AA"/>
    <w:lvl w:ilvl="0" w:tplc="A71A188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E4F7A2E"/>
    <w:multiLevelType w:val="hybridMultilevel"/>
    <w:tmpl w:val="0E948B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EE31908"/>
    <w:multiLevelType w:val="hybridMultilevel"/>
    <w:tmpl w:val="5D34E64C"/>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5282FAE"/>
    <w:multiLevelType w:val="hybridMultilevel"/>
    <w:tmpl w:val="29449E42"/>
    <w:lvl w:ilvl="0" w:tplc="685020E8">
      <w:start w:val="1"/>
      <w:numFmt w:val="decimal"/>
      <w:lvlText w:val="(%1)"/>
      <w:lvlJc w:val="left"/>
      <w:pPr>
        <w:ind w:left="720" w:hanging="720"/>
      </w:pPr>
      <w:rPr>
        <w:rFonts w:hint="default"/>
      </w:rPr>
    </w:lvl>
    <w:lvl w:ilvl="1" w:tplc="CCFEAB6C">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55F27913"/>
    <w:multiLevelType w:val="hybridMultilevel"/>
    <w:tmpl w:val="3F3C4EAA"/>
    <w:lvl w:ilvl="0" w:tplc="CCFEAB6C">
      <w:start w:val="1"/>
      <w:numFmt w:val="lowerLetter"/>
      <w:lvlText w:val="(%1)"/>
      <w:lvlJc w:val="left"/>
      <w:pPr>
        <w:ind w:left="144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5742474D"/>
    <w:multiLevelType w:val="hybridMultilevel"/>
    <w:tmpl w:val="B8120AFC"/>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8737805"/>
    <w:multiLevelType w:val="hybridMultilevel"/>
    <w:tmpl w:val="2EB8C694"/>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FBB5835"/>
    <w:multiLevelType w:val="hybridMultilevel"/>
    <w:tmpl w:val="50E269AC"/>
    <w:lvl w:ilvl="0" w:tplc="685020E8">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37E1D33"/>
    <w:multiLevelType w:val="hybridMultilevel"/>
    <w:tmpl w:val="EA1253C2"/>
    <w:lvl w:ilvl="0" w:tplc="CCFEAB6C">
      <w:start w:val="1"/>
      <w:numFmt w:val="lowerLetter"/>
      <w:lvlText w:val="(%1)"/>
      <w:lvlJc w:val="left"/>
      <w:pPr>
        <w:ind w:left="144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4" w15:restartNumberingAfterBreak="0">
    <w:nsid w:val="6EF61DCA"/>
    <w:multiLevelType w:val="hybridMultilevel"/>
    <w:tmpl w:val="2E3E863A"/>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F684A6A"/>
    <w:multiLevelType w:val="hybridMultilevel"/>
    <w:tmpl w:val="02DE4CD0"/>
    <w:lvl w:ilvl="0" w:tplc="A0CE6C88">
      <w:start w:val="1"/>
      <w:numFmt w:val="decimal"/>
      <w:lvlText w:val="(%1)"/>
      <w:lvlJc w:val="left"/>
      <w:pPr>
        <w:ind w:left="720" w:hanging="720"/>
      </w:pPr>
      <w:rPr>
        <w:rFonts w:hint="default"/>
        <w:i w:val="0"/>
      </w:rPr>
    </w:lvl>
    <w:lvl w:ilvl="1" w:tplc="CCFEAB6C">
      <w:start w:val="1"/>
      <w:numFmt w:val="lowerLetter"/>
      <w:lvlText w:val="(%2)"/>
      <w:lvlJc w:val="left"/>
      <w:pPr>
        <w:ind w:left="1080" w:hanging="360"/>
      </w:pPr>
      <w:rPr>
        <w:rFonts w:hint="default"/>
      </w:rPr>
    </w:lvl>
    <w:lvl w:ilvl="2" w:tplc="2C9EEE70">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740B267F"/>
    <w:multiLevelType w:val="hybridMultilevel"/>
    <w:tmpl w:val="29B6A102"/>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BD61EB1"/>
    <w:multiLevelType w:val="hybridMultilevel"/>
    <w:tmpl w:val="2A9E3F8A"/>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EEF7818"/>
    <w:multiLevelType w:val="hybridMultilevel"/>
    <w:tmpl w:val="1A30F122"/>
    <w:lvl w:ilvl="0" w:tplc="D0747BCE">
      <w:start w:val="1"/>
      <w:numFmt w:val="decimal"/>
      <w:lvlText w:val="(%1)"/>
      <w:lvlJc w:val="left"/>
      <w:pPr>
        <w:ind w:left="108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4"/>
  </w:num>
  <w:num w:numId="2">
    <w:abstractNumId w:val="0"/>
  </w:num>
  <w:num w:numId="3">
    <w:abstractNumId w:val="8"/>
  </w:num>
  <w:num w:numId="4">
    <w:abstractNumId w:val="27"/>
  </w:num>
  <w:num w:numId="5">
    <w:abstractNumId w:val="43"/>
  </w:num>
  <w:num w:numId="6">
    <w:abstractNumId w:val="3"/>
  </w:num>
  <w:num w:numId="7">
    <w:abstractNumId w:val="23"/>
  </w:num>
  <w:num w:numId="8">
    <w:abstractNumId w:val="26"/>
  </w:num>
  <w:num w:numId="9">
    <w:abstractNumId w:val="22"/>
  </w:num>
  <w:num w:numId="10">
    <w:abstractNumId w:val="37"/>
  </w:num>
  <w:num w:numId="11">
    <w:abstractNumId w:val="28"/>
  </w:num>
  <w:num w:numId="12">
    <w:abstractNumId w:val="5"/>
  </w:num>
  <w:num w:numId="13">
    <w:abstractNumId w:val="14"/>
  </w:num>
  <w:num w:numId="14">
    <w:abstractNumId w:val="17"/>
  </w:num>
  <w:num w:numId="15">
    <w:abstractNumId w:val="20"/>
  </w:num>
  <w:num w:numId="16">
    <w:abstractNumId w:val="35"/>
  </w:num>
  <w:num w:numId="17">
    <w:abstractNumId w:val="9"/>
  </w:num>
  <w:num w:numId="18">
    <w:abstractNumId w:val="7"/>
  </w:num>
  <w:num w:numId="19">
    <w:abstractNumId w:val="10"/>
  </w:num>
  <w:num w:numId="20">
    <w:abstractNumId w:val="13"/>
  </w:num>
  <w:num w:numId="21">
    <w:abstractNumId w:val="16"/>
  </w:num>
  <w:num w:numId="22">
    <w:abstractNumId w:val="45"/>
  </w:num>
  <w:num w:numId="23">
    <w:abstractNumId w:val="29"/>
  </w:num>
  <w:num w:numId="24">
    <w:abstractNumId w:val="41"/>
  </w:num>
  <w:num w:numId="25">
    <w:abstractNumId w:val="25"/>
  </w:num>
  <w:num w:numId="26">
    <w:abstractNumId w:val="32"/>
  </w:num>
  <w:num w:numId="27">
    <w:abstractNumId w:val="40"/>
  </w:num>
  <w:num w:numId="28">
    <w:abstractNumId w:val="21"/>
  </w:num>
  <w:num w:numId="29">
    <w:abstractNumId w:val="30"/>
  </w:num>
  <w:num w:numId="30">
    <w:abstractNumId w:val="18"/>
  </w:num>
  <w:num w:numId="31">
    <w:abstractNumId w:val="48"/>
  </w:num>
  <w:num w:numId="32">
    <w:abstractNumId w:val="31"/>
  </w:num>
  <w:num w:numId="33">
    <w:abstractNumId w:val="36"/>
  </w:num>
  <w:num w:numId="34">
    <w:abstractNumId w:val="47"/>
  </w:num>
  <w:num w:numId="35">
    <w:abstractNumId w:val="44"/>
  </w:num>
  <w:num w:numId="36">
    <w:abstractNumId w:val="46"/>
  </w:num>
  <w:num w:numId="37">
    <w:abstractNumId w:val="19"/>
  </w:num>
  <w:num w:numId="38">
    <w:abstractNumId w:val="1"/>
  </w:num>
  <w:num w:numId="39">
    <w:abstractNumId w:val="42"/>
  </w:num>
  <w:num w:numId="40">
    <w:abstractNumId w:val="39"/>
  </w:num>
  <w:num w:numId="41">
    <w:abstractNumId w:val="38"/>
  </w:num>
  <w:num w:numId="42">
    <w:abstractNumId w:val="11"/>
  </w:num>
  <w:num w:numId="43">
    <w:abstractNumId w:val="34"/>
  </w:num>
  <w:num w:numId="44">
    <w:abstractNumId w:val="24"/>
  </w:num>
  <w:num w:numId="45">
    <w:abstractNumId w:val="33"/>
  </w:num>
  <w:num w:numId="46">
    <w:abstractNumId w:val="12"/>
  </w:num>
  <w:num w:numId="47">
    <w:abstractNumId w:val="15"/>
  </w:num>
  <w:num w:numId="48">
    <w:abstractNumId w:val="2"/>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5C"/>
    <w:rsid w:val="00000ACF"/>
    <w:rsid w:val="00020F01"/>
    <w:rsid w:val="00022B16"/>
    <w:rsid w:val="0004427F"/>
    <w:rsid w:val="000575B7"/>
    <w:rsid w:val="00071150"/>
    <w:rsid w:val="00075C04"/>
    <w:rsid w:val="000A1A69"/>
    <w:rsid w:val="000B1A72"/>
    <w:rsid w:val="000D487F"/>
    <w:rsid w:val="000E1BA8"/>
    <w:rsid w:val="000E385F"/>
    <w:rsid w:val="00111350"/>
    <w:rsid w:val="00112E85"/>
    <w:rsid w:val="00131AF3"/>
    <w:rsid w:val="00155827"/>
    <w:rsid w:val="00167D8E"/>
    <w:rsid w:val="00172BAA"/>
    <w:rsid w:val="00177963"/>
    <w:rsid w:val="00194AC7"/>
    <w:rsid w:val="001969B1"/>
    <w:rsid w:val="001C3F93"/>
    <w:rsid w:val="001C45EC"/>
    <w:rsid w:val="001E4935"/>
    <w:rsid w:val="001E569F"/>
    <w:rsid w:val="00217110"/>
    <w:rsid w:val="00224B64"/>
    <w:rsid w:val="00232478"/>
    <w:rsid w:val="00232F7C"/>
    <w:rsid w:val="00233335"/>
    <w:rsid w:val="00237B81"/>
    <w:rsid w:val="00237C63"/>
    <w:rsid w:val="0024010C"/>
    <w:rsid w:val="00263465"/>
    <w:rsid w:val="002904AC"/>
    <w:rsid w:val="002C78AD"/>
    <w:rsid w:val="002F3465"/>
    <w:rsid w:val="00327589"/>
    <w:rsid w:val="00334A56"/>
    <w:rsid w:val="00334B91"/>
    <w:rsid w:val="00343240"/>
    <w:rsid w:val="00353047"/>
    <w:rsid w:val="00356A84"/>
    <w:rsid w:val="00364B83"/>
    <w:rsid w:val="00373F2B"/>
    <w:rsid w:val="00374FDC"/>
    <w:rsid w:val="00381467"/>
    <w:rsid w:val="00392C62"/>
    <w:rsid w:val="00393BE1"/>
    <w:rsid w:val="003A0229"/>
    <w:rsid w:val="003A5560"/>
    <w:rsid w:val="003A59E2"/>
    <w:rsid w:val="003B17F7"/>
    <w:rsid w:val="003C37DC"/>
    <w:rsid w:val="003C42DB"/>
    <w:rsid w:val="003C6059"/>
    <w:rsid w:val="003D4F88"/>
    <w:rsid w:val="003D7033"/>
    <w:rsid w:val="003F3B23"/>
    <w:rsid w:val="00403370"/>
    <w:rsid w:val="00403B45"/>
    <w:rsid w:val="0040725B"/>
    <w:rsid w:val="004236EB"/>
    <w:rsid w:val="00445E17"/>
    <w:rsid w:val="00447164"/>
    <w:rsid w:val="004841CC"/>
    <w:rsid w:val="004A36A6"/>
    <w:rsid w:val="004D4197"/>
    <w:rsid w:val="004D552F"/>
    <w:rsid w:val="004E1682"/>
    <w:rsid w:val="004E45DB"/>
    <w:rsid w:val="00506321"/>
    <w:rsid w:val="00552A09"/>
    <w:rsid w:val="0055745B"/>
    <w:rsid w:val="005719B1"/>
    <w:rsid w:val="0058686E"/>
    <w:rsid w:val="00587715"/>
    <w:rsid w:val="005912E3"/>
    <w:rsid w:val="00594EB2"/>
    <w:rsid w:val="00595E4D"/>
    <w:rsid w:val="005B5A5A"/>
    <w:rsid w:val="005C2A8F"/>
    <w:rsid w:val="005C58FA"/>
    <w:rsid w:val="005D393C"/>
    <w:rsid w:val="0060758C"/>
    <w:rsid w:val="0060778C"/>
    <w:rsid w:val="00615A05"/>
    <w:rsid w:val="006227B8"/>
    <w:rsid w:val="00622F34"/>
    <w:rsid w:val="00627F0C"/>
    <w:rsid w:val="0064029A"/>
    <w:rsid w:val="00640CA5"/>
    <w:rsid w:val="0064391D"/>
    <w:rsid w:val="006558CF"/>
    <w:rsid w:val="00655D04"/>
    <w:rsid w:val="00667281"/>
    <w:rsid w:val="00671DC0"/>
    <w:rsid w:val="0068570E"/>
    <w:rsid w:val="00695FF3"/>
    <w:rsid w:val="006F0561"/>
    <w:rsid w:val="006F077A"/>
    <w:rsid w:val="00704DC3"/>
    <w:rsid w:val="00713E8A"/>
    <w:rsid w:val="00715658"/>
    <w:rsid w:val="0072003E"/>
    <w:rsid w:val="00723216"/>
    <w:rsid w:val="00731FF0"/>
    <w:rsid w:val="0073434A"/>
    <w:rsid w:val="00735D0B"/>
    <w:rsid w:val="00771B8D"/>
    <w:rsid w:val="00773222"/>
    <w:rsid w:val="00777705"/>
    <w:rsid w:val="00785122"/>
    <w:rsid w:val="007937B4"/>
    <w:rsid w:val="007A6D8E"/>
    <w:rsid w:val="007B1073"/>
    <w:rsid w:val="007B3034"/>
    <w:rsid w:val="007C0ABA"/>
    <w:rsid w:val="007C48A3"/>
    <w:rsid w:val="007D4458"/>
    <w:rsid w:val="007D6786"/>
    <w:rsid w:val="007E0C9B"/>
    <w:rsid w:val="007E1640"/>
    <w:rsid w:val="007F10E5"/>
    <w:rsid w:val="00814099"/>
    <w:rsid w:val="00817916"/>
    <w:rsid w:val="00821C85"/>
    <w:rsid w:val="00827928"/>
    <w:rsid w:val="00832EFF"/>
    <w:rsid w:val="0083401B"/>
    <w:rsid w:val="00850326"/>
    <w:rsid w:val="008539D6"/>
    <w:rsid w:val="008550EB"/>
    <w:rsid w:val="00862C93"/>
    <w:rsid w:val="00870391"/>
    <w:rsid w:val="0087646A"/>
    <w:rsid w:val="008948E1"/>
    <w:rsid w:val="00895F5E"/>
    <w:rsid w:val="008A32B0"/>
    <w:rsid w:val="008B1E78"/>
    <w:rsid w:val="008C5D21"/>
    <w:rsid w:val="008D39CF"/>
    <w:rsid w:val="008E4BA1"/>
    <w:rsid w:val="008F3F43"/>
    <w:rsid w:val="008F4D00"/>
    <w:rsid w:val="008F6C9E"/>
    <w:rsid w:val="0090017E"/>
    <w:rsid w:val="009133D2"/>
    <w:rsid w:val="00921A41"/>
    <w:rsid w:val="00951FB6"/>
    <w:rsid w:val="00954D3A"/>
    <w:rsid w:val="00955688"/>
    <w:rsid w:val="00964E16"/>
    <w:rsid w:val="009768D2"/>
    <w:rsid w:val="00977B98"/>
    <w:rsid w:val="00980E4C"/>
    <w:rsid w:val="00992353"/>
    <w:rsid w:val="00997737"/>
    <w:rsid w:val="009A3636"/>
    <w:rsid w:val="009B523A"/>
    <w:rsid w:val="009B65F8"/>
    <w:rsid w:val="009E4BF2"/>
    <w:rsid w:val="009E7550"/>
    <w:rsid w:val="00A0585C"/>
    <w:rsid w:val="00A30BE2"/>
    <w:rsid w:val="00A51E0C"/>
    <w:rsid w:val="00A63693"/>
    <w:rsid w:val="00A754C6"/>
    <w:rsid w:val="00A84415"/>
    <w:rsid w:val="00AA0960"/>
    <w:rsid w:val="00AA156E"/>
    <w:rsid w:val="00AA3426"/>
    <w:rsid w:val="00AF14B4"/>
    <w:rsid w:val="00AF6886"/>
    <w:rsid w:val="00B03DF4"/>
    <w:rsid w:val="00B05E33"/>
    <w:rsid w:val="00B064C7"/>
    <w:rsid w:val="00B13388"/>
    <w:rsid w:val="00B21AAC"/>
    <w:rsid w:val="00B269BC"/>
    <w:rsid w:val="00B3088B"/>
    <w:rsid w:val="00B30B9A"/>
    <w:rsid w:val="00B34DEC"/>
    <w:rsid w:val="00B375D4"/>
    <w:rsid w:val="00B40F65"/>
    <w:rsid w:val="00B45D68"/>
    <w:rsid w:val="00B5526A"/>
    <w:rsid w:val="00B60437"/>
    <w:rsid w:val="00B63650"/>
    <w:rsid w:val="00B64A4F"/>
    <w:rsid w:val="00B65CBC"/>
    <w:rsid w:val="00B82436"/>
    <w:rsid w:val="00BA0CE3"/>
    <w:rsid w:val="00BA52F5"/>
    <w:rsid w:val="00BB241F"/>
    <w:rsid w:val="00BE3250"/>
    <w:rsid w:val="00BF2EEB"/>
    <w:rsid w:val="00BF42A5"/>
    <w:rsid w:val="00C00C67"/>
    <w:rsid w:val="00C068B8"/>
    <w:rsid w:val="00C1181F"/>
    <w:rsid w:val="00C12525"/>
    <w:rsid w:val="00C134A6"/>
    <w:rsid w:val="00C2329C"/>
    <w:rsid w:val="00C26138"/>
    <w:rsid w:val="00C41B1B"/>
    <w:rsid w:val="00C466D9"/>
    <w:rsid w:val="00C561DD"/>
    <w:rsid w:val="00C57ADF"/>
    <w:rsid w:val="00C850DA"/>
    <w:rsid w:val="00CA3BCD"/>
    <w:rsid w:val="00CB0F9E"/>
    <w:rsid w:val="00CB16BE"/>
    <w:rsid w:val="00CB2464"/>
    <w:rsid w:val="00CB592A"/>
    <w:rsid w:val="00CC4956"/>
    <w:rsid w:val="00CD19D5"/>
    <w:rsid w:val="00CD4E55"/>
    <w:rsid w:val="00CE4A3B"/>
    <w:rsid w:val="00CF50FD"/>
    <w:rsid w:val="00CF5F5A"/>
    <w:rsid w:val="00D05929"/>
    <w:rsid w:val="00D1538B"/>
    <w:rsid w:val="00D3497E"/>
    <w:rsid w:val="00D35FA7"/>
    <w:rsid w:val="00D418BE"/>
    <w:rsid w:val="00D46EC8"/>
    <w:rsid w:val="00D47F13"/>
    <w:rsid w:val="00D507C5"/>
    <w:rsid w:val="00D932D5"/>
    <w:rsid w:val="00D9759A"/>
    <w:rsid w:val="00DA44BE"/>
    <w:rsid w:val="00DA75B7"/>
    <w:rsid w:val="00DB2042"/>
    <w:rsid w:val="00DD0504"/>
    <w:rsid w:val="00DD3322"/>
    <w:rsid w:val="00DD4933"/>
    <w:rsid w:val="00DE01B3"/>
    <w:rsid w:val="00DE1FE0"/>
    <w:rsid w:val="00E0517D"/>
    <w:rsid w:val="00E36CBB"/>
    <w:rsid w:val="00E4319C"/>
    <w:rsid w:val="00E44211"/>
    <w:rsid w:val="00E51F6E"/>
    <w:rsid w:val="00E616CA"/>
    <w:rsid w:val="00E70FBE"/>
    <w:rsid w:val="00E74174"/>
    <w:rsid w:val="00E85761"/>
    <w:rsid w:val="00E90EB9"/>
    <w:rsid w:val="00EB30DB"/>
    <w:rsid w:val="00ED7CE7"/>
    <w:rsid w:val="00EE6275"/>
    <w:rsid w:val="00F02BDD"/>
    <w:rsid w:val="00F10CB2"/>
    <w:rsid w:val="00F11AB6"/>
    <w:rsid w:val="00F15AC3"/>
    <w:rsid w:val="00F176B9"/>
    <w:rsid w:val="00F21028"/>
    <w:rsid w:val="00F232E8"/>
    <w:rsid w:val="00F34532"/>
    <w:rsid w:val="00F35715"/>
    <w:rsid w:val="00F537CD"/>
    <w:rsid w:val="00F6514C"/>
    <w:rsid w:val="00F76E1D"/>
    <w:rsid w:val="00F907AA"/>
    <w:rsid w:val="00F9653D"/>
    <w:rsid w:val="00FA77F5"/>
    <w:rsid w:val="00FB4165"/>
    <w:rsid w:val="00FB57ED"/>
    <w:rsid w:val="00FC1854"/>
    <w:rsid w:val="00FC1855"/>
    <w:rsid w:val="00FD70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8F1F743"/>
  <w15:docId w15:val="{C480B47C-5E95-407E-9A52-D0B9D9C3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F15AC3"/>
    <w:pPr>
      <w:tabs>
        <w:tab w:val="left" w:pos="2880"/>
      </w:tabs>
      <w:spacing w:before="120" w:after="60" w:line="240" w:lineRule="exact"/>
    </w:pPr>
    <w:rPr>
      <w:rFonts w:ascii="Arial" w:hAnsi="Arial"/>
      <w:sz w:val="18"/>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link w:val="HeaderChar"/>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ListParagraph">
    <w:name w:val="List Paragraph"/>
    <w:basedOn w:val="Normal"/>
    <w:uiPriority w:val="34"/>
    <w:qFormat/>
    <w:rsid w:val="00731FF0"/>
    <w:pPr>
      <w:ind w:left="720"/>
      <w:contextualSpacing/>
    </w:pPr>
  </w:style>
  <w:style w:type="paragraph" w:customStyle="1" w:styleId="Default">
    <w:name w:val="Default"/>
    <w:rsid w:val="00B269BC"/>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A3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426"/>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CB16BE"/>
    <w:rPr>
      <w:sz w:val="16"/>
      <w:szCs w:val="16"/>
    </w:rPr>
  </w:style>
  <w:style w:type="paragraph" w:styleId="CommentText">
    <w:name w:val="annotation text"/>
    <w:basedOn w:val="Normal"/>
    <w:link w:val="CommentTextChar"/>
    <w:uiPriority w:val="99"/>
    <w:semiHidden/>
    <w:unhideWhenUsed/>
    <w:rsid w:val="00CB16BE"/>
    <w:rPr>
      <w:sz w:val="20"/>
    </w:rPr>
  </w:style>
  <w:style w:type="character" w:customStyle="1" w:styleId="CommentTextChar">
    <w:name w:val="Comment Text Char"/>
    <w:basedOn w:val="DefaultParagraphFont"/>
    <w:link w:val="CommentText"/>
    <w:uiPriority w:val="99"/>
    <w:semiHidden/>
    <w:rsid w:val="00CB16BE"/>
    <w:rPr>
      <w:lang w:eastAsia="en-US"/>
    </w:rPr>
  </w:style>
  <w:style w:type="paragraph" w:styleId="CommentSubject">
    <w:name w:val="annotation subject"/>
    <w:basedOn w:val="CommentText"/>
    <w:next w:val="CommentText"/>
    <w:link w:val="CommentSubjectChar"/>
    <w:uiPriority w:val="99"/>
    <w:semiHidden/>
    <w:unhideWhenUsed/>
    <w:rsid w:val="00CB16BE"/>
    <w:rPr>
      <w:b/>
      <w:bCs/>
    </w:rPr>
  </w:style>
  <w:style w:type="character" w:customStyle="1" w:styleId="CommentSubjectChar">
    <w:name w:val="Comment Subject Char"/>
    <w:basedOn w:val="CommentTextChar"/>
    <w:link w:val="CommentSubject"/>
    <w:uiPriority w:val="99"/>
    <w:semiHidden/>
    <w:rsid w:val="00CB16BE"/>
    <w:rPr>
      <w:b/>
      <w:bCs/>
      <w:lang w:eastAsia="en-US"/>
    </w:rPr>
  </w:style>
  <w:style w:type="paragraph" w:customStyle="1" w:styleId="03Schedule">
    <w:name w:val="03Schedule"/>
    <w:basedOn w:val="Normal"/>
    <w:rsid w:val="00E70FBE"/>
  </w:style>
  <w:style w:type="paragraph" w:customStyle="1" w:styleId="PageBreak">
    <w:name w:val="PageBreak"/>
    <w:basedOn w:val="Normal"/>
    <w:rsid w:val="00E70FBE"/>
    <w:rPr>
      <w:sz w:val="4"/>
    </w:rPr>
  </w:style>
  <w:style w:type="paragraph" w:customStyle="1" w:styleId="Sched-heading">
    <w:name w:val="Sched-heading"/>
    <w:basedOn w:val="Normal"/>
    <w:next w:val="ref"/>
    <w:rsid w:val="00E70FBE"/>
    <w:pPr>
      <w:keepNext/>
      <w:tabs>
        <w:tab w:val="num" w:pos="2600"/>
      </w:tabs>
      <w:spacing w:before="380" w:after="60"/>
      <w:ind w:left="2600" w:hanging="2600"/>
      <w:outlineLvl w:val="0"/>
    </w:pPr>
    <w:rPr>
      <w:rFonts w:ascii="Arial" w:hAnsi="Arial"/>
      <w:b/>
      <w:sz w:val="34"/>
    </w:rPr>
  </w:style>
  <w:style w:type="paragraph" w:customStyle="1" w:styleId="HeaderEven6">
    <w:name w:val="HeaderEven6"/>
    <w:basedOn w:val="HeaderEven"/>
    <w:rsid w:val="00E70FBE"/>
    <w:pPr>
      <w:spacing w:before="120" w:after="60"/>
    </w:pPr>
  </w:style>
  <w:style w:type="paragraph" w:customStyle="1" w:styleId="HeaderEven">
    <w:name w:val="HeaderEven"/>
    <w:basedOn w:val="Normal"/>
    <w:rsid w:val="00E70FBE"/>
    <w:rPr>
      <w:rFonts w:ascii="Arial" w:hAnsi="Arial"/>
      <w:sz w:val="18"/>
    </w:rPr>
  </w:style>
  <w:style w:type="paragraph" w:customStyle="1" w:styleId="Sched-Part">
    <w:name w:val="Sched-Part"/>
    <w:basedOn w:val="Normal"/>
    <w:next w:val="ShadedSchClause"/>
    <w:rsid w:val="00E70FBE"/>
    <w:pPr>
      <w:keepNext/>
      <w:tabs>
        <w:tab w:val="num" w:pos="1440"/>
        <w:tab w:val="left" w:pos="2600"/>
      </w:tabs>
      <w:spacing w:before="380" w:after="60"/>
      <w:ind w:left="1440" w:hanging="360"/>
      <w:outlineLvl w:val="1"/>
    </w:pPr>
    <w:rPr>
      <w:rFonts w:ascii="Arial" w:hAnsi="Arial"/>
      <w:b/>
      <w:sz w:val="32"/>
    </w:rPr>
  </w:style>
  <w:style w:type="paragraph" w:customStyle="1" w:styleId="Sched-Form">
    <w:name w:val="Sched-Form"/>
    <w:basedOn w:val="Normal"/>
    <w:next w:val="Schclauseheading"/>
    <w:rsid w:val="00E70FBE"/>
    <w:pPr>
      <w:keepNext/>
      <w:tabs>
        <w:tab w:val="num" w:pos="2600"/>
      </w:tabs>
      <w:spacing w:before="240" w:after="60"/>
      <w:ind w:left="2600" w:hanging="2600"/>
      <w:outlineLvl w:val="2"/>
    </w:pPr>
    <w:rPr>
      <w:rFonts w:ascii="Arial" w:hAnsi="Arial"/>
      <w:b/>
      <w:sz w:val="28"/>
    </w:rPr>
  </w:style>
  <w:style w:type="paragraph" w:customStyle="1" w:styleId="Schclauseheading">
    <w:name w:val="Sch clause heading"/>
    <w:basedOn w:val="Normal"/>
    <w:next w:val="SchAmain"/>
    <w:rsid w:val="00E70FBE"/>
    <w:pPr>
      <w:keepNext/>
      <w:tabs>
        <w:tab w:val="num" w:pos="1100"/>
      </w:tabs>
      <w:spacing w:before="240" w:after="60"/>
      <w:ind w:left="1100" w:hanging="1100"/>
      <w:outlineLvl w:val="4"/>
    </w:pPr>
    <w:rPr>
      <w:rFonts w:ascii="Arial" w:hAnsi="Arial"/>
      <w:b/>
    </w:rPr>
  </w:style>
  <w:style w:type="paragraph" w:customStyle="1" w:styleId="SchAmain">
    <w:name w:val="Sch A main"/>
    <w:basedOn w:val="Amain"/>
    <w:rsid w:val="00E70FBE"/>
    <w:pPr>
      <w:tabs>
        <w:tab w:val="clear" w:pos="500"/>
        <w:tab w:val="clear" w:pos="700"/>
        <w:tab w:val="num" w:pos="1100"/>
      </w:tabs>
      <w:ind w:left="1100" w:hanging="200"/>
    </w:pPr>
  </w:style>
  <w:style w:type="paragraph" w:customStyle="1" w:styleId="SchApara">
    <w:name w:val="Sch A para"/>
    <w:basedOn w:val="Apara"/>
    <w:rsid w:val="00E70FBE"/>
    <w:pPr>
      <w:numPr>
        <w:ilvl w:val="0"/>
        <w:numId w:val="0"/>
      </w:numPr>
      <w:tabs>
        <w:tab w:val="num" w:pos="1600"/>
      </w:tabs>
      <w:ind w:left="1600" w:hanging="200"/>
    </w:pPr>
  </w:style>
  <w:style w:type="paragraph" w:customStyle="1" w:styleId="SchAsubpara">
    <w:name w:val="Sch A subpara"/>
    <w:basedOn w:val="Asubpara"/>
    <w:rsid w:val="00E70FBE"/>
    <w:pPr>
      <w:numPr>
        <w:ilvl w:val="0"/>
        <w:numId w:val="0"/>
      </w:numPr>
      <w:tabs>
        <w:tab w:val="num" w:pos="2140"/>
      </w:tabs>
      <w:ind w:left="2140" w:hanging="200"/>
    </w:pPr>
  </w:style>
  <w:style w:type="paragraph" w:customStyle="1" w:styleId="SchAsubsubpara">
    <w:name w:val="Sch A subsubpara"/>
    <w:basedOn w:val="Asubsubpara"/>
    <w:rsid w:val="00E70FBE"/>
    <w:pPr>
      <w:numPr>
        <w:ilvl w:val="0"/>
        <w:numId w:val="0"/>
      </w:numPr>
      <w:tabs>
        <w:tab w:val="num" w:pos="2660"/>
      </w:tabs>
      <w:ind w:left="2660" w:hanging="200"/>
    </w:pPr>
  </w:style>
  <w:style w:type="character" w:customStyle="1" w:styleId="FooterChar">
    <w:name w:val="Footer Char"/>
    <w:basedOn w:val="DefaultParagraphFont"/>
    <w:link w:val="Footer"/>
    <w:uiPriority w:val="99"/>
    <w:rsid w:val="00E70FBE"/>
    <w:rPr>
      <w:rFonts w:ascii="Arial" w:hAnsi="Arial"/>
      <w:sz w:val="18"/>
      <w:lang w:eastAsia="en-US"/>
    </w:rPr>
  </w:style>
  <w:style w:type="character" w:customStyle="1" w:styleId="HeaderChar">
    <w:name w:val="Header Char"/>
    <w:basedOn w:val="DefaultParagraphFont"/>
    <w:link w:val="Header"/>
    <w:rsid w:val="00E70FBE"/>
    <w:rPr>
      <w:sz w:val="24"/>
      <w:lang w:eastAsia="en-US"/>
    </w:rPr>
  </w:style>
  <w:style w:type="paragraph" w:customStyle="1" w:styleId="ScheduleHeading1">
    <w:name w:val="Schedule Heading 1"/>
    <w:basedOn w:val="Normal"/>
    <w:link w:val="ScheduleHeading1Char"/>
    <w:qFormat/>
    <w:rsid w:val="00997737"/>
    <w:rPr>
      <w:b/>
      <w:sz w:val="28"/>
    </w:rPr>
  </w:style>
  <w:style w:type="character" w:customStyle="1" w:styleId="ScheduleHeading1Char">
    <w:name w:val="Schedule Heading 1 Char"/>
    <w:basedOn w:val="DefaultParagraphFont"/>
    <w:link w:val="ScheduleHeading1"/>
    <w:rsid w:val="00997737"/>
    <w:rPr>
      <w:b/>
      <w:sz w:val="28"/>
      <w:lang w:eastAsia="en-US"/>
    </w:rPr>
  </w:style>
  <w:style w:type="table" w:styleId="TableGrid">
    <w:name w:val="Table Grid"/>
    <w:basedOn w:val="TableNormal"/>
    <w:uiPriority w:val="59"/>
    <w:rsid w:val="007B1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984699">
      <w:bodyDiv w:val="1"/>
      <w:marLeft w:val="0"/>
      <w:marRight w:val="0"/>
      <w:marTop w:val="0"/>
      <w:marBottom w:val="0"/>
      <w:divBdr>
        <w:top w:val="none" w:sz="0" w:space="0" w:color="auto"/>
        <w:left w:val="none" w:sz="0" w:space="0" w:color="auto"/>
        <w:bottom w:val="none" w:sz="0" w:space="0" w:color="auto"/>
        <w:right w:val="none" w:sz="0" w:space="0" w:color="auto"/>
      </w:divBdr>
    </w:div>
    <w:div w:id="204898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25100-3F56-48FB-9F94-EA2F027F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5075</Words>
  <Characters>26984</Characters>
  <Application>Microsoft Office Word</Application>
  <DocSecurity>4</DocSecurity>
  <Lines>769</Lines>
  <Paragraphs>270</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32096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Anna Anderberg-Hewitt</dc:creator>
  <cp:keywords/>
  <dc:description/>
  <cp:lastModifiedBy>Connor, Tina</cp:lastModifiedBy>
  <cp:revision>2</cp:revision>
  <cp:lastPrinted>2019-03-14T04:33:00Z</cp:lastPrinted>
  <dcterms:created xsi:type="dcterms:W3CDTF">2019-05-20T03:35:00Z</dcterms:created>
  <dcterms:modified xsi:type="dcterms:W3CDTF">2019-05-20T03:35:00Z</dcterms:modified>
</cp:coreProperties>
</file>